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8.0 -->
  <w:body>
    <w:p w:rsidR="00BF7816" w:rsidRPr="00D11E90" w:rsidP="003B5C63" w14:paraId="2BD525A8" w14:textId="77777777">
      <w:pPr>
        <w:pStyle w:val="Caption"/>
        <w:rPr>
          <w:caps/>
          <w:noProof/>
          <w:sz w:val="28"/>
          <w:szCs w:val="28"/>
        </w:rPr>
      </w:pPr>
    </w:p>
    <w:p w:rsidR="00BF7816" w:rsidRPr="00D11E90" w:rsidP="003B5C63" w14:paraId="2B12618B" w14:textId="57A617B3">
      <w:pPr>
        <w:pStyle w:val="Caption"/>
        <w:rPr>
          <w:i/>
          <w:iCs/>
          <w:caps/>
          <w:noProof/>
          <w:sz w:val="28"/>
          <w:szCs w:val="28"/>
        </w:rPr>
      </w:pPr>
      <w:r w:rsidRPr="00D11E90">
        <w:rPr>
          <w:i/>
          <w:iCs/>
          <w:caps/>
          <w:noProof/>
          <w:sz w:val="28"/>
          <w:szCs w:val="28"/>
        </w:rPr>
        <w:t>Rīgas domes Pilsētas īpašuma komiteja</w:t>
      </w:r>
    </w:p>
    <w:p w:rsidR="00BF7816" w:rsidRPr="00D11E90" w:rsidP="003B5C63" w14:paraId="7B34DE38" w14:textId="77777777">
      <w:pPr>
        <w:rPr>
          <w:noProof/>
          <w:sz w:val="10"/>
          <w:szCs w:val="10"/>
          <w:lang w:eastAsia="en-US"/>
        </w:rPr>
      </w:pPr>
    </w:p>
    <w:p w:rsidR="00BF7816" w:rsidRPr="00D11E90" w:rsidP="003B5C63" w14:paraId="363E0A8C" w14:textId="77777777">
      <w:pPr>
        <w:tabs>
          <w:tab w:val="left" w:pos="3960"/>
        </w:tabs>
        <w:jc w:val="center"/>
        <w:rPr>
          <w:noProof/>
          <w:sz w:val="22"/>
          <w:szCs w:val="22"/>
        </w:rPr>
      </w:pPr>
      <w:r w:rsidRPr="00D11E90">
        <w:rPr>
          <w:noProof/>
          <w:sz w:val="22"/>
          <w:szCs w:val="22"/>
        </w:rPr>
        <w:t>Rātslaukums 1, Rīga, LV-1539, tālrunis 67012222, e-pasts: riga@riga.lv</w:t>
      </w:r>
    </w:p>
    <w:p w:rsidR="00BF7816" w:rsidRPr="00D11E90" w:rsidP="003B5C63" w14:paraId="05276E9C" w14:textId="77777777">
      <w:pPr>
        <w:pStyle w:val="Protokols"/>
        <w:jc w:val="center"/>
        <w:rPr>
          <w:b/>
          <w:bCs/>
          <w:noProof/>
        </w:rPr>
      </w:pPr>
    </w:p>
    <w:p w:rsidR="00BF7816" w:rsidRPr="00D11E90" w:rsidP="003B5C63" w14:paraId="54CB10AA" w14:textId="10E03014">
      <w:pPr>
        <w:jc w:val="center"/>
        <w:rPr>
          <w:b/>
          <w:bCs/>
          <w:i/>
          <w:iCs/>
          <w:caps/>
          <w:noProof/>
          <w:sz w:val="26"/>
          <w:szCs w:val="26"/>
          <w:lang w:eastAsia="en-US"/>
        </w:rPr>
      </w:pPr>
      <w:r w:rsidRPr="00D11E90">
        <w:rPr>
          <w:b/>
          <w:bCs/>
          <w:i/>
          <w:iCs/>
          <w:caps/>
          <w:noProof/>
          <w:sz w:val="26"/>
          <w:szCs w:val="26"/>
          <w:lang w:eastAsia="en-US"/>
        </w:rPr>
        <w:t xml:space="preserve">RĪGAS DOMES PILSĒTAS ĪPAŠUMA KOMITEJAS </w:t>
      </w:r>
    </w:p>
    <w:p w:rsidR="00BF7816" w:rsidRPr="00D11E90" w:rsidP="003B5C63" w14:paraId="0D4B3A3B" w14:textId="77777777">
      <w:pPr>
        <w:jc w:val="center"/>
        <w:rPr>
          <w:b/>
          <w:bCs/>
          <w:noProof/>
          <w:sz w:val="26"/>
          <w:szCs w:val="26"/>
          <w:lang w:eastAsia="en-US"/>
        </w:rPr>
      </w:pPr>
      <w:r w:rsidRPr="00D11E90">
        <w:rPr>
          <w:b/>
          <w:bCs/>
          <w:noProof/>
          <w:sz w:val="26"/>
          <w:szCs w:val="26"/>
          <w:lang w:eastAsia="en-US"/>
        </w:rPr>
        <w:t>SĒDES PROTOKOLS</w:t>
      </w:r>
    </w:p>
    <w:p w:rsidR="00BF7816" w:rsidRPr="00D11E90" w:rsidP="003B5C63" w14:paraId="1A058F33" w14:textId="77777777">
      <w:pPr>
        <w:pStyle w:val="Protokols"/>
        <w:jc w:val="center"/>
        <w:rPr>
          <w:noProof/>
          <w:sz w:val="24"/>
          <w:szCs w:val="24"/>
        </w:rPr>
      </w:pPr>
      <w:r w:rsidRPr="00D11E90">
        <w:rPr>
          <w:noProof/>
          <w:sz w:val="24"/>
          <w:szCs w:val="24"/>
        </w:rPr>
        <w:t>Rīgā</w:t>
      </w:r>
    </w:p>
    <w:tbl>
      <w:tblPr>
        <w:tblW w:w="0" w:type="auto"/>
        <w:tblInd w:w="60" w:type="dxa"/>
        <w:tblLayout w:type="fixed"/>
        <w:tblCellMar>
          <w:left w:w="60" w:type="dxa"/>
          <w:right w:w="60" w:type="dxa"/>
        </w:tblCellMar>
        <w:tblLook w:val="0000"/>
      </w:tblPr>
      <w:tblGrid>
        <w:gridCol w:w="4728"/>
        <w:gridCol w:w="4628"/>
      </w:tblGrid>
      <w:tr w14:paraId="727A4C1B" w14:textId="77777777" w:rsidTr="001041AD">
        <w:tblPrEx>
          <w:tblW w:w="0" w:type="auto"/>
          <w:tblInd w:w="60" w:type="dxa"/>
          <w:tblLayout w:type="fixed"/>
          <w:tblCellMar>
            <w:left w:w="60" w:type="dxa"/>
            <w:right w:w="60" w:type="dxa"/>
          </w:tblCellMar>
          <w:tblLook w:val="0000"/>
        </w:tblPrEx>
        <w:trPr>
          <w:cantSplit/>
        </w:trPr>
        <w:tc>
          <w:tcPr>
            <w:tcW w:w="4728" w:type="dxa"/>
            <w:tcBorders>
              <w:top w:val="nil"/>
              <w:left w:val="nil"/>
              <w:bottom w:val="nil"/>
              <w:right w:val="nil"/>
            </w:tcBorders>
          </w:tcPr>
          <w:p w:rsidR="001041AD" w:rsidRPr="00D11E90" w:rsidP="009463E2" w14:paraId="78F21396" w14:textId="44CD0A12">
            <w:pPr>
              <w:widowControl w:val="0"/>
              <w:autoSpaceDE w:val="0"/>
              <w:autoSpaceDN w:val="0"/>
              <w:adjustRightInd w:val="0"/>
            </w:pPr>
            <w:r w:rsidRPr="00D11E90">
              <w:t>#SEDES_NORISES_DATUMS#</w:t>
            </w:r>
          </w:p>
        </w:tc>
        <w:tc>
          <w:tcPr>
            <w:tcW w:w="4628" w:type="dxa"/>
            <w:tcBorders>
              <w:top w:val="nil"/>
              <w:left w:val="nil"/>
              <w:bottom w:val="nil"/>
              <w:right w:val="nil"/>
            </w:tcBorders>
          </w:tcPr>
          <w:p w:rsidR="001041AD" w:rsidRPr="00D11E90" w:rsidP="009463E2" w14:paraId="12AF847C" w14:textId="77777777">
            <w:pPr>
              <w:widowControl w:val="0"/>
              <w:autoSpaceDE w:val="0"/>
              <w:autoSpaceDN w:val="0"/>
              <w:adjustRightInd w:val="0"/>
              <w:jc w:val="right"/>
            </w:pPr>
            <w:r w:rsidRPr="00D11E90">
              <w:t xml:space="preserve">Nr. </w:t>
            </w:r>
            <w:r w:rsidRPr="00D11E90">
              <w:t>#SEDES_NR#</w:t>
            </w:r>
          </w:p>
        </w:tc>
      </w:tr>
    </w:tbl>
    <w:p w:rsidR="001041AD" w:rsidRPr="00D11E90" w:rsidP="003B5C63" w14:paraId="51BBDBAC" w14:textId="77777777">
      <w:pPr>
        <w:pStyle w:val="Protokols"/>
        <w:tabs>
          <w:tab w:val="left" w:pos="4700"/>
        </w:tabs>
        <w:jc w:val="left"/>
        <w:rPr>
          <w:noProof/>
        </w:rPr>
      </w:pPr>
    </w:p>
    <w:p w:rsidR="00BF7816" w:rsidRPr="00D11E90" w:rsidP="00027CBE" w14:paraId="339612D3" w14:textId="77777777">
      <w:pPr>
        <w:autoSpaceDE w:val="0"/>
        <w:autoSpaceDN w:val="0"/>
        <w:adjustRightInd w:val="0"/>
        <w:jc w:val="center"/>
        <w:rPr>
          <w:b/>
          <w:noProof/>
          <w:sz w:val="26"/>
          <w:szCs w:val="26"/>
        </w:rPr>
      </w:pPr>
    </w:p>
    <w:p w:rsidR="00BF7816" w:rsidRPr="00D11E90" w:rsidP="00027CBE" w14:paraId="1F5CFF0C" w14:textId="77777777">
      <w:pPr>
        <w:autoSpaceDE w:val="0"/>
        <w:autoSpaceDN w:val="0"/>
        <w:adjustRightInd w:val="0"/>
        <w:jc w:val="center"/>
        <w:rPr>
          <w:b/>
          <w:noProof/>
          <w:sz w:val="26"/>
          <w:szCs w:val="26"/>
        </w:rPr>
      </w:pPr>
      <w:r w:rsidRPr="00D11E90">
        <w:rPr>
          <w:b/>
          <w:noProof/>
          <w:sz w:val="26"/>
          <w:szCs w:val="26"/>
        </w:rPr>
        <w:t>.§</w:t>
      </w:r>
    </w:p>
    <w:p w:rsidR="00027CBE" w:rsidRPr="00D11E90" w:rsidP="00027CBE" w14:paraId="4DB13365" w14:textId="77777777">
      <w:pPr>
        <w:autoSpaceDE w:val="0"/>
        <w:autoSpaceDN w:val="0"/>
        <w:adjustRightInd w:val="0"/>
        <w:jc w:val="center"/>
        <w:rPr>
          <w:b/>
          <w:noProof/>
          <w:sz w:val="26"/>
          <w:szCs w:val="26"/>
        </w:rPr>
      </w:pPr>
    </w:p>
    <w:p w:rsidR="00140B71" w:rsidRPr="00D11E90" w:rsidP="00140B71" w14:paraId="551D5697" w14:textId="2840E7A0">
      <w:pPr>
        <w:autoSpaceDE w:val="0"/>
        <w:autoSpaceDN w:val="0"/>
        <w:adjustRightInd w:val="0"/>
        <w:jc w:val="center"/>
        <w:rPr>
          <w:b/>
          <w:i/>
          <w:iCs/>
          <w:noProof/>
          <w:sz w:val="26"/>
          <w:szCs w:val="26"/>
          <w:lang w:eastAsia="en-US"/>
        </w:rPr>
      </w:pPr>
      <w:r w:rsidRPr="00D11E90">
        <w:rPr>
          <w:b/>
          <w:i/>
          <w:iCs/>
          <w:noProof/>
          <w:sz w:val="26"/>
          <w:szCs w:val="26"/>
        </w:rPr>
        <w:t>Par 2024.gada budžeta grozījumiem</w:t>
      </w:r>
    </w:p>
    <w:p w:rsidR="00027CBE" w:rsidRPr="00D11E90" w:rsidP="009268C5" w14:paraId="63ACFF50" w14:textId="4A18B761">
      <w:pPr>
        <w:jc w:val="center"/>
        <w:rPr>
          <w:noProof/>
          <w:sz w:val="26"/>
          <w:szCs w:val="26"/>
        </w:rPr>
      </w:pPr>
      <w:r w:rsidRPr="00D11E90">
        <w:rPr>
          <w:noProof/>
          <w:sz w:val="26"/>
          <w:szCs w:val="26"/>
        </w:rPr>
        <w:t xml:space="preserve"> </w:t>
      </w:r>
      <w:r w:rsidRPr="00D11E90">
        <w:rPr>
          <w:b/>
          <w:noProof/>
          <w:sz w:val="26"/>
          <w:szCs w:val="26"/>
        </w:rPr>
        <w:t>__________________________________</w:t>
      </w:r>
    </w:p>
    <w:p w:rsidR="00027CBE" w:rsidP="00027CBE" w14:paraId="7ECB9B2B" w14:textId="012A195C">
      <w:pPr>
        <w:autoSpaceDE w:val="0"/>
        <w:autoSpaceDN w:val="0"/>
        <w:adjustRightInd w:val="0"/>
        <w:rPr>
          <w:noProof/>
          <w:sz w:val="26"/>
          <w:szCs w:val="26"/>
        </w:rPr>
      </w:pPr>
    </w:p>
    <w:p w:rsidR="00CA6DDE" w:rsidRPr="00D11E90" w:rsidP="00027CBE" w14:paraId="471B8755" w14:textId="77777777">
      <w:pPr>
        <w:autoSpaceDE w:val="0"/>
        <w:autoSpaceDN w:val="0"/>
        <w:adjustRightInd w:val="0"/>
        <w:rPr>
          <w:noProof/>
          <w:sz w:val="26"/>
          <w:szCs w:val="26"/>
        </w:rPr>
      </w:pPr>
    </w:p>
    <w:p w:rsidR="009268C5" w:rsidRPr="00D11E90" w:rsidP="009268C5" w14:paraId="5FF782D6" w14:textId="77777777">
      <w:pPr>
        <w:widowControl w:val="0"/>
        <w:ind w:firstLine="709"/>
        <w:jc w:val="both"/>
        <w:rPr>
          <w:rFonts w:eastAsia="Calibri"/>
          <w:i/>
          <w:iCs/>
          <w:noProof/>
          <w:sz w:val="26"/>
          <w:szCs w:val="26"/>
          <w:lang w:eastAsia="en-US"/>
        </w:rPr>
      </w:pPr>
    </w:p>
    <w:p w:rsidR="00601944" w:rsidP="00601944" w14:paraId="0D0C9757" w14:textId="77777777">
      <w:pPr>
        <w:ind w:firstLine="720"/>
        <w:jc w:val="both"/>
        <w:rPr>
          <w:sz w:val="26"/>
          <w:szCs w:val="26"/>
        </w:rPr>
      </w:pPr>
      <w:r>
        <w:rPr>
          <w:sz w:val="26"/>
          <w:szCs w:val="26"/>
        </w:rPr>
        <w:t xml:space="preserve">Pamatojoties uz Rīgas domes priekšsēdētāja 26.09.2024. vadības uzdevumu Nr.RD-24-26-vu, Rīgas valstspilsētas pašvaldības Dzīvojamo māju privatizācijas komisija (turpmāk- Komisija) ir sagatavojusi 2024.gada budžeta grozījumus, Komisijas lūdz tos atbalstīt un apstiprināt. </w:t>
      </w:r>
    </w:p>
    <w:p w:rsidR="00601944" w:rsidP="00601944" w14:paraId="37169DB4" w14:textId="77777777">
      <w:pPr>
        <w:rPr>
          <w:sz w:val="20"/>
          <w:szCs w:val="20"/>
        </w:rPr>
      </w:pPr>
    </w:p>
    <w:p w:rsidR="00601944" w:rsidP="00601944" w14:paraId="79ACC599" w14:textId="77777777">
      <w:pPr>
        <w:spacing w:after="120"/>
        <w:jc w:val="center"/>
        <w:rPr>
          <w:b/>
          <w:sz w:val="26"/>
          <w:szCs w:val="26"/>
        </w:rPr>
      </w:pPr>
      <w:r>
        <w:tab/>
      </w:r>
      <w:r>
        <w:rPr>
          <w:b/>
          <w:sz w:val="26"/>
          <w:szCs w:val="26"/>
        </w:rPr>
        <w:t xml:space="preserve">Rīgas valstspilsētas pašvaldības Dzīvojamo māju privatizācijas komisijas darbības nodrošināšana (27.01.00.) </w:t>
      </w:r>
    </w:p>
    <w:p w:rsidR="00601944" w:rsidP="00601944" w14:paraId="74257C29" w14:textId="77777777">
      <w:pPr>
        <w:spacing w:after="120"/>
        <w:ind w:firstLine="720"/>
        <w:jc w:val="both"/>
        <w:rPr>
          <w:sz w:val="26"/>
          <w:szCs w:val="26"/>
        </w:rPr>
      </w:pPr>
      <w:r>
        <w:rPr>
          <w:sz w:val="26"/>
          <w:szCs w:val="26"/>
        </w:rPr>
        <w:t>Palielinot budžeta transfertus par 840 EUR, budžeta iestāžu ieņēmumus par 29752 EUR, ieņēmumus par zemes nomu par 39737 EUR un pārvietojot līdzekļus programmas ietvaros atbilstoši faktiskajai izpildei:</w:t>
      </w:r>
    </w:p>
    <w:tbl>
      <w:tblPr>
        <w:tblW w:w="6989" w:type="dxa"/>
        <w:tblInd w:w="-152" w:type="dxa"/>
        <w:tblCellMar>
          <w:left w:w="0" w:type="dxa"/>
          <w:right w:w="0" w:type="dxa"/>
        </w:tblCellMar>
        <w:tblLook w:val="04A0"/>
      </w:tblPr>
      <w:tblGrid>
        <w:gridCol w:w="1607"/>
        <w:gridCol w:w="3762"/>
        <w:gridCol w:w="1579"/>
        <w:gridCol w:w="41"/>
      </w:tblGrid>
      <w:tr w14:paraId="24DCA7C6" w14:textId="77777777" w:rsidTr="00601944">
        <w:tblPrEx>
          <w:tblW w:w="6989" w:type="dxa"/>
          <w:tblInd w:w="-152" w:type="dxa"/>
          <w:tblCellMar>
            <w:left w:w="0" w:type="dxa"/>
            <w:right w:w="0" w:type="dxa"/>
          </w:tblCellMar>
          <w:tblLook w:val="04A0"/>
        </w:tblPrEx>
        <w:trPr>
          <w:trHeight w:val="414"/>
        </w:trPr>
        <w:tc>
          <w:tcPr>
            <w:tcW w:w="160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601944" w14:paraId="5D191B37" w14:textId="77777777">
            <w:pPr>
              <w:spacing w:line="276" w:lineRule="auto"/>
              <w:ind w:right="43"/>
              <w:jc w:val="center"/>
              <w:rPr>
                <w:kern w:val="2"/>
                <w:sz w:val="26"/>
                <w:szCs w:val="26"/>
                <w:lang w:eastAsia="en-US"/>
                <w14:ligatures w14:val="standardContextual"/>
              </w:rPr>
            </w:pPr>
            <w:r>
              <w:rPr>
                <w:kern w:val="2"/>
                <w:sz w:val="26"/>
                <w:szCs w:val="26"/>
                <w:lang w:eastAsia="en-US"/>
                <w14:ligatures w14:val="standardContextual"/>
              </w:rPr>
              <w:t>EKK</w:t>
            </w:r>
          </w:p>
        </w:tc>
        <w:tc>
          <w:tcPr>
            <w:tcW w:w="376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601944" w14:paraId="27360398" w14:textId="77777777">
            <w:pPr>
              <w:spacing w:line="276" w:lineRule="auto"/>
              <w:ind w:right="43"/>
              <w:jc w:val="center"/>
              <w:rPr>
                <w:kern w:val="2"/>
                <w:sz w:val="26"/>
                <w:szCs w:val="26"/>
                <w:lang w:eastAsia="en-US"/>
                <w14:ligatures w14:val="standardContextual"/>
              </w:rPr>
            </w:pPr>
            <w:r>
              <w:rPr>
                <w:kern w:val="2"/>
                <w:sz w:val="26"/>
                <w:szCs w:val="26"/>
                <w:lang w:eastAsia="en-US"/>
                <w14:ligatures w14:val="standardContextual"/>
              </w:rPr>
              <w:t>Rādītāju nosaukumi</w:t>
            </w:r>
          </w:p>
        </w:tc>
        <w:tc>
          <w:tcPr>
            <w:tcW w:w="1620"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601944" w14:paraId="5E34A64C" w14:textId="77777777">
            <w:pPr>
              <w:spacing w:line="256" w:lineRule="auto"/>
              <w:ind w:left="-108"/>
              <w:jc w:val="center"/>
              <w:rPr>
                <w:kern w:val="2"/>
                <w:sz w:val="22"/>
                <w:szCs w:val="22"/>
                <w:lang w:eastAsia="en-US"/>
                <w14:ligatures w14:val="standardContextual"/>
              </w:rPr>
            </w:pPr>
            <w:r>
              <w:rPr>
                <w:kern w:val="2"/>
                <w:sz w:val="22"/>
                <w:szCs w:val="22"/>
                <w:lang w:eastAsia="en-US"/>
                <w14:ligatures w14:val="standardContextual"/>
              </w:rPr>
              <w:t>Grozījumi (+,-)</w:t>
            </w:r>
          </w:p>
        </w:tc>
      </w:tr>
      <w:tr w14:paraId="37B74BD7" w14:textId="77777777" w:rsidTr="00601944">
        <w:tblPrEx>
          <w:tblW w:w="6989" w:type="dxa"/>
          <w:tblInd w:w="-152" w:type="dxa"/>
          <w:tblCellMar>
            <w:left w:w="0" w:type="dxa"/>
            <w:right w:w="0" w:type="dxa"/>
          </w:tblCellMar>
          <w:tblLook w:val="04A0"/>
        </w:tblPrEx>
        <w:trPr>
          <w:gridAfter w:val="1"/>
          <w:wAfter w:w="41" w:type="dxa"/>
        </w:trPr>
        <w:tc>
          <w:tcPr>
            <w:tcW w:w="694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944" w:rsidP="00601944" w14:paraId="401D1B90" w14:textId="77777777">
            <w:pPr>
              <w:pStyle w:val="ListParagraph"/>
              <w:numPr>
                <w:ilvl w:val="0"/>
                <w:numId w:val="2"/>
              </w:numPr>
              <w:spacing w:line="276" w:lineRule="auto"/>
              <w:ind w:right="43"/>
              <w:jc w:val="center"/>
              <w:rPr>
                <w:b/>
                <w:bCs/>
                <w:kern w:val="2"/>
                <w:sz w:val="24"/>
                <w:szCs w:val="24"/>
                <w:lang w:eastAsia="en-US"/>
                <w14:ligatures w14:val="standardContextual"/>
              </w:rPr>
            </w:pPr>
            <w:r>
              <w:rPr>
                <w:b/>
                <w:bCs/>
                <w:kern w:val="2"/>
                <w:sz w:val="24"/>
                <w:szCs w:val="24"/>
                <w:lang w:eastAsia="en-US"/>
                <w14:ligatures w14:val="standardContextual"/>
              </w:rPr>
              <w:t>IEŅĒMUMI</w:t>
            </w:r>
          </w:p>
        </w:tc>
      </w:tr>
      <w:tr w14:paraId="68B56FC5"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944" w14:paraId="0DE5397F" w14:textId="77777777">
            <w:pPr>
              <w:spacing w:line="276" w:lineRule="auto"/>
              <w:ind w:right="43"/>
              <w:rPr>
                <w:kern w:val="2"/>
                <w:lang w:eastAsia="en-US"/>
                <w14:ligatures w14:val="standardContextual"/>
              </w:rPr>
            </w:pPr>
            <w:r>
              <w:rPr>
                <w:kern w:val="2"/>
                <w:lang w:eastAsia="en-US"/>
                <w14:ligatures w14:val="standardContextual"/>
              </w:rPr>
              <w:t>18.620</w:t>
            </w:r>
          </w:p>
        </w:tc>
        <w:tc>
          <w:tcPr>
            <w:tcW w:w="3762" w:type="dxa"/>
            <w:tcBorders>
              <w:top w:val="nil"/>
              <w:left w:val="nil"/>
              <w:bottom w:val="single" w:sz="8" w:space="0" w:color="auto"/>
              <w:right w:val="single" w:sz="8" w:space="0" w:color="auto"/>
            </w:tcBorders>
            <w:tcMar>
              <w:top w:w="0" w:type="dxa"/>
              <w:left w:w="108" w:type="dxa"/>
              <w:bottom w:w="0" w:type="dxa"/>
              <w:right w:w="108" w:type="dxa"/>
            </w:tcMar>
          </w:tcPr>
          <w:p w:rsidR="00601944" w14:paraId="2DDB6E11" w14:textId="77777777">
            <w:pPr>
              <w:spacing w:line="276" w:lineRule="auto"/>
              <w:ind w:right="43"/>
              <w:rPr>
                <w:kern w:val="2"/>
                <w:lang w:eastAsia="en-US"/>
                <w14:ligatures w14:val="standardContextual"/>
              </w:rPr>
            </w:pPr>
            <w:r>
              <w:rPr>
                <w:kern w:val="2"/>
                <w:lang w:eastAsia="en-US"/>
                <w14:ligatures w14:val="standardContextual"/>
              </w:rPr>
              <w:t>Pašvaldību saņemtie valsts budžeta transferti</w:t>
            </w:r>
          </w:p>
          <w:p w:rsidR="00601944" w14:paraId="561A4D1A" w14:textId="77777777">
            <w:pPr>
              <w:spacing w:line="276" w:lineRule="auto"/>
              <w:ind w:right="43"/>
              <w:rPr>
                <w:kern w:val="2"/>
                <w:lang w:eastAsia="en-US"/>
                <w14:ligatures w14:val="standardContextual"/>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hideMark/>
          </w:tcPr>
          <w:p w:rsidR="00601944" w14:paraId="4A0CD0DC" w14:textId="77777777">
            <w:pPr>
              <w:spacing w:line="276" w:lineRule="auto"/>
              <w:ind w:right="43"/>
              <w:jc w:val="right"/>
              <w:rPr>
                <w:b/>
                <w:bCs/>
                <w:kern w:val="2"/>
                <w:lang w:eastAsia="en-US"/>
                <w14:ligatures w14:val="standardContextual"/>
              </w:rPr>
            </w:pPr>
            <w:r>
              <w:rPr>
                <w:b/>
                <w:bCs/>
                <w:kern w:val="2"/>
                <w:lang w:eastAsia="en-US"/>
                <w14:ligatures w14:val="standardContextual"/>
              </w:rPr>
              <w:t>840</w:t>
            </w:r>
          </w:p>
        </w:tc>
      </w:tr>
      <w:tr w14:paraId="501BE5E6"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944" w14:paraId="138DCF55" w14:textId="77777777">
            <w:pPr>
              <w:spacing w:line="276" w:lineRule="auto"/>
              <w:ind w:right="43"/>
              <w:rPr>
                <w:kern w:val="2"/>
                <w:lang w:eastAsia="en-US"/>
                <w14:ligatures w14:val="standardContextual"/>
              </w:rPr>
            </w:pPr>
            <w:r>
              <w:rPr>
                <w:rFonts w:eastAsia="Calibri"/>
                <w:kern w:val="2"/>
                <w:lang w:eastAsia="en-US"/>
                <w14:ligatures w14:val="standardContextual"/>
              </w:rPr>
              <w:t>21.384</w:t>
            </w:r>
          </w:p>
        </w:tc>
        <w:tc>
          <w:tcPr>
            <w:tcW w:w="3762" w:type="dxa"/>
            <w:tcBorders>
              <w:top w:val="nil"/>
              <w:left w:val="nil"/>
              <w:bottom w:val="single" w:sz="8" w:space="0" w:color="auto"/>
              <w:right w:val="single" w:sz="8" w:space="0" w:color="auto"/>
            </w:tcBorders>
            <w:tcMar>
              <w:top w:w="0" w:type="dxa"/>
              <w:left w:w="108" w:type="dxa"/>
              <w:bottom w:w="0" w:type="dxa"/>
              <w:right w:w="108" w:type="dxa"/>
            </w:tcMar>
            <w:hideMark/>
          </w:tcPr>
          <w:p w:rsidR="00601944" w14:paraId="42579F89" w14:textId="77777777">
            <w:pPr>
              <w:spacing w:line="276" w:lineRule="auto"/>
              <w:ind w:right="43"/>
              <w:rPr>
                <w:kern w:val="2"/>
                <w:lang w:eastAsia="en-US"/>
                <w14:ligatures w14:val="standardContextual"/>
              </w:rPr>
            </w:pPr>
            <w:r>
              <w:rPr>
                <w:rFonts w:eastAsia="Calibri"/>
                <w:kern w:val="2"/>
                <w:lang w:eastAsia="en-US"/>
                <w14:ligatures w14:val="standardContextual"/>
              </w:rPr>
              <w:t>Ieņēmumi no iestāžu sniegtajiem maksas pakalpojumiem un citi ieņēmumi</w:t>
            </w:r>
          </w:p>
        </w:tc>
        <w:tc>
          <w:tcPr>
            <w:tcW w:w="1579" w:type="dxa"/>
            <w:tcBorders>
              <w:top w:val="nil"/>
              <w:left w:val="nil"/>
              <w:bottom w:val="single" w:sz="8" w:space="0" w:color="auto"/>
              <w:right w:val="single" w:sz="8" w:space="0" w:color="auto"/>
            </w:tcBorders>
            <w:tcMar>
              <w:top w:w="0" w:type="dxa"/>
              <w:left w:w="108" w:type="dxa"/>
              <w:bottom w:w="0" w:type="dxa"/>
              <w:right w:w="108" w:type="dxa"/>
            </w:tcMar>
            <w:hideMark/>
          </w:tcPr>
          <w:p w:rsidR="00601944" w14:paraId="36901254" w14:textId="77777777">
            <w:pPr>
              <w:spacing w:line="276" w:lineRule="auto"/>
              <w:ind w:right="43"/>
              <w:jc w:val="right"/>
              <w:rPr>
                <w:b/>
                <w:bCs/>
                <w:kern w:val="2"/>
                <w:lang w:eastAsia="en-US"/>
                <w14:ligatures w14:val="standardContextual"/>
              </w:rPr>
            </w:pPr>
            <w:r>
              <w:rPr>
                <w:b/>
                <w:bCs/>
                <w:kern w:val="2"/>
                <w:lang w:eastAsia="en-US"/>
                <w14:ligatures w14:val="standardContextual"/>
              </w:rPr>
              <w:t>39737</w:t>
            </w:r>
          </w:p>
        </w:tc>
      </w:tr>
      <w:tr w14:paraId="3840A441"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944" w14:paraId="594F8A09" w14:textId="77777777">
            <w:pPr>
              <w:spacing w:line="276" w:lineRule="auto"/>
              <w:ind w:right="43"/>
              <w:rPr>
                <w:kern w:val="2"/>
                <w:lang w:eastAsia="en-US"/>
                <w14:ligatures w14:val="standardContextual"/>
              </w:rPr>
            </w:pPr>
            <w:r>
              <w:rPr>
                <w:kern w:val="2"/>
                <w:lang w:eastAsia="en-US"/>
                <w14:ligatures w14:val="standardContextual"/>
              </w:rPr>
              <w:t>21.39920</w:t>
            </w:r>
          </w:p>
        </w:tc>
        <w:tc>
          <w:tcPr>
            <w:tcW w:w="3762" w:type="dxa"/>
            <w:tcBorders>
              <w:top w:val="nil"/>
              <w:left w:val="nil"/>
              <w:bottom w:val="single" w:sz="8" w:space="0" w:color="auto"/>
              <w:right w:val="single" w:sz="8" w:space="0" w:color="auto"/>
            </w:tcBorders>
            <w:tcMar>
              <w:top w:w="0" w:type="dxa"/>
              <w:left w:w="108" w:type="dxa"/>
              <w:bottom w:w="0" w:type="dxa"/>
              <w:right w:w="108" w:type="dxa"/>
            </w:tcMar>
            <w:hideMark/>
          </w:tcPr>
          <w:p w:rsidR="00601944" w14:paraId="5B6F612C" w14:textId="77777777">
            <w:pPr>
              <w:spacing w:line="276" w:lineRule="auto"/>
              <w:ind w:right="43"/>
              <w:rPr>
                <w:kern w:val="2"/>
                <w:lang w:eastAsia="en-US"/>
                <w14:ligatures w14:val="standardContextual"/>
              </w:rPr>
            </w:pPr>
            <w:r>
              <w:rPr>
                <w:kern w:val="2"/>
                <w:lang w:eastAsia="en-US"/>
                <w14:ligatures w14:val="standardContextual"/>
              </w:rPr>
              <w:t>Pārējie citi ieņēmumi par maksas pakalpojumiem</w:t>
            </w:r>
          </w:p>
        </w:tc>
        <w:tc>
          <w:tcPr>
            <w:tcW w:w="1579" w:type="dxa"/>
            <w:tcBorders>
              <w:top w:val="nil"/>
              <w:left w:val="nil"/>
              <w:bottom w:val="single" w:sz="8" w:space="0" w:color="auto"/>
              <w:right w:val="single" w:sz="8" w:space="0" w:color="auto"/>
            </w:tcBorders>
            <w:tcMar>
              <w:top w:w="0" w:type="dxa"/>
              <w:left w:w="108" w:type="dxa"/>
              <w:bottom w:w="0" w:type="dxa"/>
              <w:right w:w="108" w:type="dxa"/>
            </w:tcMar>
            <w:hideMark/>
          </w:tcPr>
          <w:p w:rsidR="00601944" w14:paraId="5AEFB005" w14:textId="77777777">
            <w:pPr>
              <w:spacing w:line="276" w:lineRule="auto"/>
              <w:ind w:right="43"/>
              <w:jc w:val="right"/>
              <w:rPr>
                <w:b/>
                <w:bCs/>
                <w:kern w:val="2"/>
                <w:lang w:eastAsia="en-US"/>
                <w14:ligatures w14:val="standardContextual"/>
              </w:rPr>
            </w:pPr>
            <w:r>
              <w:rPr>
                <w:b/>
                <w:bCs/>
                <w:kern w:val="2"/>
                <w:lang w:eastAsia="en-US"/>
                <w14:ligatures w14:val="standardContextual"/>
              </w:rPr>
              <w:t>41</w:t>
            </w:r>
          </w:p>
        </w:tc>
      </w:tr>
      <w:tr w14:paraId="7E71F0D8"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944" w14:paraId="22EA35CB" w14:textId="77777777">
            <w:pPr>
              <w:spacing w:line="276" w:lineRule="auto"/>
              <w:ind w:right="43"/>
              <w:rPr>
                <w:kern w:val="2"/>
                <w:lang w:eastAsia="en-US"/>
                <w14:ligatures w14:val="standardContextual"/>
              </w:rPr>
            </w:pPr>
            <w:r>
              <w:rPr>
                <w:kern w:val="2"/>
                <w:lang w:eastAsia="en-US"/>
                <w14:ligatures w14:val="standardContextual"/>
              </w:rPr>
              <w:t>21.49013</w:t>
            </w:r>
          </w:p>
        </w:tc>
        <w:tc>
          <w:tcPr>
            <w:tcW w:w="3762" w:type="dxa"/>
            <w:tcBorders>
              <w:top w:val="nil"/>
              <w:left w:val="nil"/>
              <w:bottom w:val="single" w:sz="8" w:space="0" w:color="auto"/>
              <w:right w:val="single" w:sz="8" w:space="0" w:color="auto"/>
            </w:tcBorders>
            <w:tcMar>
              <w:top w:w="0" w:type="dxa"/>
              <w:left w:w="108" w:type="dxa"/>
              <w:bottom w:w="0" w:type="dxa"/>
              <w:right w:w="108" w:type="dxa"/>
            </w:tcMar>
            <w:hideMark/>
          </w:tcPr>
          <w:p w:rsidR="00601944" w14:paraId="0E1E80F8" w14:textId="77777777">
            <w:pPr>
              <w:spacing w:line="276" w:lineRule="auto"/>
              <w:ind w:right="43"/>
              <w:rPr>
                <w:kern w:val="2"/>
                <w:lang w:eastAsia="en-US"/>
                <w14:ligatures w14:val="standardContextual"/>
              </w:rPr>
            </w:pPr>
            <w:r>
              <w:rPr>
                <w:kern w:val="2"/>
                <w:lang w:eastAsia="en-US"/>
                <w14:ligatures w14:val="standardContextual"/>
              </w:rPr>
              <w:t>Ieņēmumi no neizpildītajām līgumsaistībām-kavējuma naudas</w:t>
            </w:r>
          </w:p>
        </w:tc>
        <w:tc>
          <w:tcPr>
            <w:tcW w:w="1579" w:type="dxa"/>
            <w:tcBorders>
              <w:top w:val="nil"/>
              <w:left w:val="nil"/>
              <w:bottom w:val="single" w:sz="8" w:space="0" w:color="auto"/>
              <w:right w:val="single" w:sz="8" w:space="0" w:color="auto"/>
            </w:tcBorders>
            <w:tcMar>
              <w:top w:w="0" w:type="dxa"/>
              <w:left w:w="108" w:type="dxa"/>
              <w:bottom w:w="0" w:type="dxa"/>
              <w:right w:w="108" w:type="dxa"/>
            </w:tcMar>
            <w:hideMark/>
          </w:tcPr>
          <w:p w:rsidR="00601944" w14:paraId="434663DD" w14:textId="77777777">
            <w:pPr>
              <w:spacing w:line="276" w:lineRule="auto"/>
              <w:ind w:right="43"/>
              <w:jc w:val="right"/>
              <w:rPr>
                <w:b/>
                <w:bCs/>
                <w:kern w:val="2"/>
                <w:lang w:eastAsia="en-US"/>
                <w14:ligatures w14:val="standardContextual"/>
              </w:rPr>
            </w:pPr>
            <w:r>
              <w:rPr>
                <w:b/>
                <w:bCs/>
                <w:kern w:val="2"/>
                <w:lang w:eastAsia="en-US"/>
                <w14:ligatures w14:val="standardContextual"/>
              </w:rPr>
              <w:t>693</w:t>
            </w:r>
          </w:p>
        </w:tc>
      </w:tr>
      <w:tr w14:paraId="2D4B0B13"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944" w14:paraId="74318D52" w14:textId="77777777">
            <w:pPr>
              <w:spacing w:line="276" w:lineRule="auto"/>
              <w:ind w:right="43"/>
              <w:rPr>
                <w:kern w:val="2"/>
                <w:lang w:eastAsia="en-US"/>
                <w14:ligatures w14:val="standardContextual"/>
              </w:rPr>
            </w:pPr>
            <w:r>
              <w:rPr>
                <w:kern w:val="2"/>
                <w:lang w:eastAsia="en-US"/>
                <w14:ligatures w14:val="standardContextual"/>
              </w:rPr>
              <w:t>21.49099</w:t>
            </w:r>
          </w:p>
        </w:tc>
        <w:tc>
          <w:tcPr>
            <w:tcW w:w="3762" w:type="dxa"/>
            <w:tcBorders>
              <w:top w:val="nil"/>
              <w:left w:val="nil"/>
              <w:bottom w:val="single" w:sz="8" w:space="0" w:color="auto"/>
              <w:right w:val="single" w:sz="8" w:space="0" w:color="auto"/>
            </w:tcBorders>
            <w:tcMar>
              <w:top w:w="0" w:type="dxa"/>
              <w:left w:w="108" w:type="dxa"/>
              <w:bottom w:w="0" w:type="dxa"/>
              <w:right w:w="108" w:type="dxa"/>
            </w:tcMar>
            <w:hideMark/>
          </w:tcPr>
          <w:p w:rsidR="00601944" w14:paraId="2C077090" w14:textId="77777777">
            <w:pPr>
              <w:spacing w:line="276" w:lineRule="auto"/>
              <w:ind w:right="43"/>
              <w:rPr>
                <w:kern w:val="2"/>
                <w:lang w:eastAsia="en-US"/>
                <w14:ligatures w14:val="standardContextual"/>
              </w:rPr>
            </w:pPr>
            <w:r>
              <w:rPr>
                <w:kern w:val="2"/>
                <w:lang w:eastAsia="en-US"/>
                <w14:ligatures w14:val="standardContextual"/>
              </w:rPr>
              <w:t>Dažādi ieņēmumi</w:t>
            </w:r>
          </w:p>
        </w:tc>
        <w:tc>
          <w:tcPr>
            <w:tcW w:w="1579" w:type="dxa"/>
            <w:tcBorders>
              <w:top w:val="nil"/>
              <w:left w:val="nil"/>
              <w:bottom w:val="single" w:sz="8" w:space="0" w:color="auto"/>
              <w:right w:val="single" w:sz="8" w:space="0" w:color="auto"/>
            </w:tcBorders>
            <w:tcMar>
              <w:top w:w="0" w:type="dxa"/>
              <w:left w:w="108" w:type="dxa"/>
              <w:bottom w:w="0" w:type="dxa"/>
              <w:right w:w="108" w:type="dxa"/>
            </w:tcMar>
            <w:hideMark/>
          </w:tcPr>
          <w:p w:rsidR="00601944" w14:paraId="3475FBD6" w14:textId="77777777">
            <w:pPr>
              <w:spacing w:line="276" w:lineRule="auto"/>
              <w:ind w:right="43"/>
              <w:jc w:val="right"/>
              <w:rPr>
                <w:b/>
                <w:bCs/>
                <w:kern w:val="2"/>
                <w:lang w:eastAsia="en-US"/>
                <w14:ligatures w14:val="standardContextual"/>
              </w:rPr>
            </w:pPr>
            <w:r>
              <w:rPr>
                <w:b/>
                <w:bCs/>
                <w:kern w:val="2"/>
                <w:lang w:eastAsia="en-US"/>
                <w14:ligatures w14:val="standardContextual"/>
              </w:rPr>
              <w:t>29018</w:t>
            </w:r>
          </w:p>
        </w:tc>
      </w:tr>
      <w:tr w14:paraId="6BA7CD7E" w14:textId="77777777" w:rsidTr="00601944">
        <w:tblPrEx>
          <w:tblW w:w="6989" w:type="dxa"/>
          <w:tblInd w:w="-152" w:type="dxa"/>
          <w:tblCellMar>
            <w:left w:w="0" w:type="dxa"/>
            <w:right w:w="0" w:type="dxa"/>
          </w:tblCellMar>
          <w:tblLook w:val="04A0"/>
        </w:tblPrEx>
        <w:trPr>
          <w:gridAfter w:val="1"/>
          <w:wAfter w:w="41" w:type="dxa"/>
        </w:trPr>
        <w:tc>
          <w:tcPr>
            <w:tcW w:w="694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944" w14:paraId="32F49293" w14:textId="77777777">
            <w:pPr>
              <w:spacing w:line="276" w:lineRule="auto"/>
              <w:ind w:right="43"/>
              <w:jc w:val="center"/>
              <w:rPr>
                <w:rFonts w:eastAsia="Calibri"/>
                <w:b/>
                <w:bCs/>
                <w:kern w:val="2"/>
                <w:lang w:eastAsia="en-US"/>
                <w14:ligatures w14:val="standardContextual"/>
              </w:rPr>
            </w:pPr>
            <w:r>
              <w:rPr>
                <w:b/>
                <w:bCs/>
                <w:kern w:val="2"/>
                <w:lang w:eastAsia="en-US"/>
                <w14:ligatures w14:val="standardContextual"/>
              </w:rPr>
              <w:t>IZDEVUMI</w:t>
            </w:r>
          </w:p>
        </w:tc>
      </w:tr>
      <w:tr w14:paraId="11A9BAB8"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1F834E8A" w14:textId="77777777">
            <w:pPr>
              <w:spacing w:line="256" w:lineRule="auto"/>
              <w:rPr>
                <w:kern w:val="2"/>
                <w:lang w:eastAsia="en-US"/>
                <w14:ligatures w14:val="standardContextual"/>
              </w:rPr>
            </w:pPr>
            <w:r>
              <w:rPr>
                <w:kern w:val="2"/>
                <w:lang w:eastAsia="en-US"/>
                <w14:ligatures w14:val="standardContextual"/>
              </w:rPr>
              <w:t>1142</w:t>
            </w:r>
          </w:p>
        </w:tc>
        <w:tc>
          <w:tcPr>
            <w:tcW w:w="3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0B68D00A" w14:textId="77777777">
            <w:pPr>
              <w:spacing w:line="256" w:lineRule="auto"/>
              <w:rPr>
                <w:kern w:val="2"/>
                <w:highlight w:val="yellow"/>
                <w:lang w:eastAsia="en-US"/>
                <w14:ligatures w14:val="standardContextual"/>
              </w:rPr>
            </w:pPr>
            <w:r>
              <w:rPr>
                <w:kern w:val="2"/>
                <w:lang w:eastAsia="en-US"/>
                <w14:ligatures w14:val="standardContextual"/>
              </w:rPr>
              <w:t>Samaksa par virsstundu darbu un darbu svētku dienās</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4F01C32F" w14:textId="77777777">
            <w:pPr>
              <w:spacing w:line="256" w:lineRule="auto"/>
              <w:jc w:val="right"/>
              <w:rPr>
                <w:b/>
                <w:kern w:val="2"/>
                <w:lang w:eastAsia="en-US"/>
                <w14:ligatures w14:val="standardContextual"/>
              </w:rPr>
            </w:pPr>
            <w:r>
              <w:rPr>
                <w:b/>
                <w:kern w:val="2"/>
                <w:lang w:eastAsia="en-US"/>
                <w14:ligatures w14:val="standardContextual"/>
              </w:rPr>
              <w:t>1226</w:t>
            </w:r>
          </w:p>
        </w:tc>
      </w:tr>
      <w:tr w14:paraId="4EB468D5"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376CD3C0" w14:textId="77777777">
            <w:pPr>
              <w:spacing w:line="256" w:lineRule="auto"/>
              <w:rPr>
                <w:kern w:val="2"/>
                <w:lang w:eastAsia="en-US"/>
                <w14:ligatures w14:val="standardContextual"/>
              </w:rPr>
            </w:pPr>
            <w:r>
              <w:rPr>
                <w:kern w:val="2"/>
                <w:lang w:eastAsia="en-US"/>
                <w14:ligatures w14:val="standardContextual"/>
              </w:rPr>
              <w:t>1447</w:t>
            </w:r>
          </w:p>
        </w:tc>
        <w:tc>
          <w:tcPr>
            <w:tcW w:w="3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65043B59" w14:textId="77777777">
            <w:pPr>
              <w:spacing w:line="256" w:lineRule="auto"/>
              <w:rPr>
                <w:kern w:val="2"/>
                <w:lang w:eastAsia="en-US"/>
                <w14:ligatures w14:val="standardContextual"/>
              </w:rPr>
            </w:pPr>
            <w:r>
              <w:rPr>
                <w:kern w:val="2"/>
                <w:lang w:eastAsia="en-US"/>
                <w14:ligatures w14:val="standardContextual"/>
              </w:rPr>
              <w:t>Piemaksa par papildu darbu</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6E65B3EC" w14:textId="77777777">
            <w:pPr>
              <w:spacing w:line="256" w:lineRule="auto"/>
              <w:jc w:val="right"/>
              <w:rPr>
                <w:b/>
                <w:kern w:val="2"/>
                <w:lang w:eastAsia="en-US"/>
                <w14:ligatures w14:val="standardContextual"/>
              </w:rPr>
            </w:pPr>
            <w:r>
              <w:rPr>
                <w:b/>
                <w:kern w:val="2"/>
                <w:lang w:eastAsia="en-US"/>
                <w14:ligatures w14:val="standardContextual"/>
              </w:rPr>
              <w:t>840</w:t>
            </w:r>
          </w:p>
        </w:tc>
      </w:tr>
      <w:tr w14:paraId="683515C4"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7A269635" w14:textId="77777777">
            <w:pPr>
              <w:spacing w:line="256" w:lineRule="auto"/>
              <w:rPr>
                <w:kern w:val="2"/>
                <w:lang w:eastAsia="en-US"/>
                <w14:ligatures w14:val="standardContextual"/>
              </w:rPr>
            </w:pPr>
            <w:r>
              <w:rPr>
                <w:kern w:val="2"/>
                <w:lang w:eastAsia="en-US"/>
                <w14:ligatures w14:val="standardContextual"/>
              </w:rPr>
              <w:t>1210</w:t>
            </w:r>
          </w:p>
        </w:tc>
        <w:tc>
          <w:tcPr>
            <w:tcW w:w="3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355D5F7F" w14:textId="77777777">
            <w:pPr>
              <w:spacing w:line="256" w:lineRule="auto"/>
              <w:rPr>
                <w:kern w:val="2"/>
                <w:lang w:eastAsia="en-US"/>
                <w14:ligatures w14:val="standardContextual"/>
              </w:rPr>
            </w:pPr>
            <w:r>
              <w:rPr>
                <w:kern w:val="2"/>
                <w:lang w:eastAsia="en-US"/>
                <w14:ligatures w14:val="standardContextual"/>
              </w:rPr>
              <w:t xml:space="preserve">Darba devēja valsts sociālās </w:t>
            </w:r>
            <w:r>
              <w:rPr>
                <w:kern w:val="2"/>
                <w:lang w:eastAsia="en-US"/>
                <w14:ligatures w14:val="standardContextual"/>
              </w:rPr>
              <w:t>apdrošināšanas obligātās iemaksas</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5A2568DF" w14:textId="77777777">
            <w:pPr>
              <w:spacing w:line="256" w:lineRule="auto"/>
              <w:jc w:val="right"/>
              <w:rPr>
                <w:b/>
                <w:kern w:val="2"/>
                <w:lang w:eastAsia="en-US"/>
                <w14:ligatures w14:val="standardContextual"/>
              </w:rPr>
            </w:pPr>
            <w:r>
              <w:rPr>
                <w:b/>
                <w:kern w:val="2"/>
                <w:lang w:eastAsia="en-US"/>
                <w14:ligatures w14:val="standardContextual"/>
              </w:rPr>
              <w:t>502</w:t>
            </w:r>
          </w:p>
        </w:tc>
      </w:tr>
      <w:tr w14:paraId="18D39FAA"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5790E97A" w14:textId="77777777">
            <w:pPr>
              <w:spacing w:line="256" w:lineRule="auto"/>
              <w:rPr>
                <w:kern w:val="2"/>
                <w:lang w:eastAsia="en-US"/>
                <w14:ligatures w14:val="standardContextual"/>
              </w:rPr>
            </w:pPr>
            <w:r>
              <w:rPr>
                <w:kern w:val="2"/>
                <w:lang w:eastAsia="en-US"/>
                <w14:ligatures w14:val="standardContextual"/>
              </w:rPr>
              <w:t>1221</w:t>
            </w:r>
          </w:p>
        </w:tc>
        <w:tc>
          <w:tcPr>
            <w:tcW w:w="3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6D59CF06" w14:textId="77777777">
            <w:pPr>
              <w:spacing w:line="256" w:lineRule="auto"/>
              <w:rPr>
                <w:kern w:val="2"/>
                <w:lang w:eastAsia="en-US"/>
                <w14:ligatures w14:val="standardContextual"/>
              </w:rPr>
            </w:pPr>
            <w:r>
              <w:rPr>
                <w:kern w:val="2"/>
                <w:lang w:eastAsia="en-US"/>
                <w14:ligatures w14:val="standardContextual"/>
              </w:rPr>
              <w:t>Darba devēja pabalsti un kompensācijas, no kuriem aprēķina iedzīvotāju ienākuma nodokli un valsts sociālās apdrošināšanas obligātās iemaksas</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296813FD" w14:textId="77777777">
            <w:pPr>
              <w:spacing w:line="256" w:lineRule="auto"/>
              <w:jc w:val="right"/>
              <w:rPr>
                <w:b/>
                <w:kern w:val="2"/>
                <w:lang w:eastAsia="en-US"/>
                <w14:ligatures w14:val="standardContextual"/>
              </w:rPr>
            </w:pPr>
            <w:r>
              <w:rPr>
                <w:b/>
                <w:kern w:val="2"/>
                <w:lang w:eastAsia="en-US"/>
                <w14:ligatures w14:val="standardContextual"/>
              </w:rPr>
              <w:t>900</w:t>
            </w:r>
          </w:p>
        </w:tc>
      </w:tr>
      <w:tr w14:paraId="71D972D5"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09A0EC91" w14:textId="77777777">
            <w:pPr>
              <w:spacing w:line="256" w:lineRule="auto"/>
              <w:rPr>
                <w:kern w:val="2"/>
                <w:lang w:eastAsia="en-US"/>
                <w14:ligatures w14:val="standardContextual"/>
              </w:rPr>
            </w:pPr>
            <w:r>
              <w:rPr>
                <w:kern w:val="2"/>
                <w:lang w:eastAsia="en-US"/>
                <w14:ligatures w14:val="standardContextual"/>
              </w:rPr>
              <w:t>1228</w:t>
            </w:r>
          </w:p>
        </w:tc>
        <w:tc>
          <w:tcPr>
            <w:tcW w:w="3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7DA025CD" w14:textId="77777777">
            <w:pPr>
              <w:spacing w:line="256" w:lineRule="auto"/>
              <w:rPr>
                <w:kern w:val="2"/>
                <w:lang w:eastAsia="en-US"/>
                <w14:ligatures w14:val="standardContextual"/>
              </w:rPr>
            </w:pPr>
            <w:r>
              <w:rPr>
                <w:kern w:val="2"/>
                <w:shd w:val="clear" w:color="auto" w:fill="FFFFFF"/>
                <w:lang w:eastAsia="en-US"/>
                <w14:ligatures w14:val="standardContextual"/>
              </w:rPr>
              <w:t>Darba devēja pabalsti un kompensācijas, no kā neaprēķina iedzīvotāju ienākuma nodokli un valsts sociālās apdrošināšanas obligātās iemaksas</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03D73358" w14:textId="77777777">
            <w:pPr>
              <w:spacing w:line="256" w:lineRule="auto"/>
              <w:jc w:val="right"/>
              <w:rPr>
                <w:b/>
                <w:kern w:val="2"/>
                <w:lang w:eastAsia="en-US"/>
                <w14:ligatures w14:val="standardContextual"/>
              </w:rPr>
            </w:pPr>
            <w:r>
              <w:rPr>
                <w:b/>
                <w:kern w:val="2"/>
                <w:lang w:eastAsia="en-US"/>
                <w14:ligatures w14:val="standardContextual"/>
              </w:rPr>
              <w:t>-1113</w:t>
            </w:r>
          </w:p>
        </w:tc>
      </w:tr>
      <w:tr w14:paraId="06D320E1"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3E175A9A" w14:textId="77777777">
            <w:pPr>
              <w:spacing w:line="256" w:lineRule="auto"/>
              <w:rPr>
                <w:kern w:val="2"/>
                <w:lang w:eastAsia="en-US"/>
                <w14:ligatures w14:val="standardContextual"/>
              </w:rPr>
            </w:pPr>
            <w:r>
              <w:rPr>
                <w:kern w:val="2"/>
                <w:lang w:eastAsia="en-US"/>
                <w14:ligatures w14:val="standardContextual"/>
              </w:rPr>
              <w:t>2210</w:t>
            </w:r>
          </w:p>
        </w:tc>
        <w:tc>
          <w:tcPr>
            <w:tcW w:w="3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20FB9E4A" w14:textId="77777777">
            <w:pPr>
              <w:spacing w:line="256" w:lineRule="auto"/>
              <w:rPr>
                <w:kern w:val="2"/>
                <w:highlight w:val="yellow"/>
                <w:shd w:val="clear" w:color="auto" w:fill="FFFFFF"/>
                <w:lang w:eastAsia="en-US"/>
                <w14:ligatures w14:val="standardContextual"/>
              </w:rPr>
            </w:pPr>
            <w:r>
              <w:rPr>
                <w:kern w:val="2"/>
                <w:shd w:val="clear" w:color="auto" w:fill="FFFFFF"/>
                <w:lang w:eastAsia="en-US"/>
                <w14:ligatures w14:val="standardContextual"/>
              </w:rPr>
              <w:t>Izdevumi par sakaru pakalpojumiem</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6FF43646" w14:textId="77777777">
            <w:pPr>
              <w:spacing w:line="256" w:lineRule="auto"/>
              <w:jc w:val="right"/>
              <w:rPr>
                <w:b/>
                <w:kern w:val="2"/>
                <w:highlight w:val="yellow"/>
                <w:lang w:eastAsia="en-US"/>
                <w14:ligatures w14:val="standardContextual"/>
              </w:rPr>
            </w:pPr>
            <w:r>
              <w:rPr>
                <w:b/>
                <w:kern w:val="2"/>
                <w:lang w:eastAsia="en-US"/>
                <w14:ligatures w14:val="standardContextual"/>
              </w:rPr>
              <w:t>36026</w:t>
            </w:r>
          </w:p>
        </w:tc>
      </w:tr>
      <w:tr w14:paraId="6B534010"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6CA11E8B" w14:textId="77777777">
            <w:pPr>
              <w:spacing w:line="256" w:lineRule="auto"/>
              <w:rPr>
                <w:kern w:val="2"/>
                <w:lang w:eastAsia="en-US"/>
                <w14:ligatures w14:val="standardContextual"/>
              </w:rPr>
            </w:pPr>
            <w:r>
              <w:rPr>
                <w:kern w:val="2"/>
                <w:lang w:eastAsia="en-US"/>
                <w14:ligatures w14:val="standardContextual"/>
              </w:rPr>
              <w:t>2234</w:t>
            </w:r>
          </w:p>
        </w:tc>
        <w:tc>
          <w:tcPr>
            <w:tcW w:w="3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7C1DAD48" w14:textId="77777777">
            <w:pPr>
              <w:spacing w:line="256" w:lineRule="auto"/>
              <w:rPr>
                <w:kern w:val="2"/>
                <w:highlight w:val="yellow"/>
                <w:shd w:val="clear" w:color="auto" w:fill="FFFFFF"/>
                <w:lang w:eastAsia="en-US"/>
                <w14:ligatures w14:val="standardContextual"/>
              </w:rPr>
            </w:pPr>
            <w:r>
              <w:rPr>
                <w:kern w:val="2"/>
                <w:shd w:val="clear" w:color="auto" w:fill="FFFFFF"/>
                <w:lang w:eastAsia="en-US"/>
                <w14:ligatures w14:val="standardContextual"/>
              </w:rPr>
              <w:t xml:space="preserve">Normatīvajos aktos noteiktie veselības un </w:t>
            </w:r>
            <w:r>
              <w:rPr>
                <w:kern w:val="2"/>
                <w:shd w:val="clear" w:color="auto" w:fill="FFFFFF"/>
                <w:lang w:eastAsia="en-US"/>
                <w14:ligatures w14:val="standardContextual"/>
              </w:rPr>
              <w:t>fiziskās sagatavotības pārbaudes izdevumi</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198DADDA" w14:textId="77777777">
            <w:pPr>
              <w:spacing w:line="256" w:lineRule="auto"/>
              <w:jc w:val="right"/>
              <w:rPr>
                <w:b/>
                <w:kern w:val="2"/>
                <w:lang w:eastAsia="en-US"/>
                <w14:ligatures w14:val="standardContextual"/>
              </w:rPr>
            </w:pPr>
            <w:r>
              <w:rPr>
                <w:b/>
                <w:kern w:val="2"/>
                <w:lang w:eastAsia="en-US"/>
                <w14:ligatures w14:val="standardContextual"/>
              </w:rPr>
              <w:t>72</w:t>
            </w:r>
          </w:p>
        </w:tc>
      </w:tr>
      <w:tr w14:paraId="6918E319"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73CD84AB" w14:textId="77777777">
            <w:pPr>
              <w:spacing w:line="256" w:lineRule="auto"/>
              <w:rPr>
                <w:kern w:val="2"/>
                <w:lang w:eastAsia="en-US"/>
                <w14:ligatures w14:val="standardContextual"/>
              </w:rPr>
            </w:pPr>
            <w:r>
              <w:rPr>
                <w:kern w:val="2"/>
                <w:lang w:eastAsia="en-US"/>
                <w14:ligatures w14:val="standardContextual"/>
              </w:rPr>
              <w:t>2239</w:t>
            </w:r>
          </w:p>
        </w:tc>
        <w:tc>
          <w:tcPr>
            <w:tcW w:w="3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2E6792D4" w14:textId="77777777">
            <w:pPr>
              <w:spacing w:line="256" w:lineRule="auto"/>
              <w:rPr>
                <w:kern w:val="2"/>
                <w:shd w:val="clear" w:color="auto" w:fill="FFFFFF"/>
                <w:lang w:eastAsia="en-US"/>
                <w14:ligatures w14:val="standardContextual"/>
              </w:rPr>
            </w:pPr>
            <w:r>
              <w:rPr>
                <w:kern w:val="2"/>
                <w:shd w:val="clear" w:color="auto" w:fill="FFFFFF"/>
                <w:lang w:eastAsia="en-US"/>
                <w14:ligatures w14:val="standardContextual"/>
              </w:rPr>
              <w:t>Pārējie neklasificētie pakalpojumi</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5678887C" w14:textId="77777777">
            <w:pPr>
              <w:spacing w:line="256" w:lineRule="auto"/>
              <w:jc w:val="right"/>
              <w:rPr>
                <w:b/>
                <w:kern w:val="2"/>
                <w:lang w:eastAsia="en-US"/>
                <w14:ligatures w14:val="standardContextual"/>
              </w:rPr>
            </w:pPr>
            <w:r>
              <w:rPr>
                <w:b/>
                <w:kern w:val="2"/>
                <w:lang w:eastAsia="en-US"/>
                <w14:ligatures w14:val="standardContextual"/>
              </w:rPr>
              <w:t>-575</w:t>
            </w:r>
          </w:p>
        </w:tc>
      </w:tr>
      <w:tr w14:paraId="3A5A342B"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7ACD1F0E" w14:textId="77777777">
            <w:pPr>
              <w:spacing w:line="256" w:lineRule="auto"/>
              <w:rPr>
                <w:kern w:val="2"/>
                <w:lang w:eastAsia="en-US"/>
                <w14:ligatures w14:val="standardContextual"/>
              </w:rPr>
            </w:pPr>
            <w:r>
              <w:rPr>
                <w:kern w:val="2"/>
                <w:lang w:eastAsia="en-US"/>
                <w14:ligatures w14:val="standardContextual"/>
              </w:rPr>
              <w:t>2241</w:t>
            </w:r>
          </w:p>
        </w:tc>
        <w:tc>
          <w:tcPr>
            <w:tcW w:w="3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2A2D4849" w14:textId="77777777">
            <w:pPr>
              <w:spacing w:line="256" w:lineRule="auto"/>
              <w:rPr>
                <w:kern w:val="2"/>
                <w:shd w:val="clear" w:color="auto" w:fill="FFFFFF"/>
                <w:lang w:eastAsia="en-US"/>
                <w14:ligatures w14:val="standardContextual"/>
              </w:rPr>
            </w:pPr>
            <w:r>
              <w:rPr>
                <w:kern w:val="2"/>
                <w:shd w:val="clear" w:color="auto" w:fill="FFFFFF"/>
                <w:lang w:eastAsia="en-US"/>
                <w14:ligatures w14:val="standardContextual"/>
              </w:rPr>
              <w:t>Ēku, būvju un telpu būvdarbi</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263AD716" w14:textId="77777777">
            <w:pPr>
              <w:spacing w:line="256" w:lineRule="auto"/>
              <w:jc w:val="right"/>
              <w:rPr>
                <w:b/>
                <w:kern w:val="2"/>
                <w:lang w:eastAsia="en-US"/>
                <w14:ligatures w14:val="standardContextual"/>
              </w:rPr>
            </w:pPr>
            <w:r>
              <w:rPr>
                <w:b/>
                <w:kern w:val="2"/>
                <w:lang w:eastAsia="en-US"/>
                <w14:ligatures w14:val="standardContextual"/>
              </w:rPr>
              <w:t>-5000</w:t>
            </w:r>
          </w:p>
        </w:tc>
      </w:tr>
      <w:tr w14:paraId="310AC23C"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319032E8" w14:textId="77777777">
            <w:pPr>
              <w:spacing w:line="256" w:lineRule="auto"/>
              <w:rPr>
                <w:kern w:val="2"/>
                <w:lang w:eastAsia="en-US"/>
                <w14:ligatures w14:val="standardContextual"/>
              </w:rPr>
            </w:pPr>
            <w:r>
              <w:rPr>
                <w:kern w:val="2"/>
                <w:lang w:eastAsia="en-US"/>
                <w14:ligatures w14:val="standardContextual"/>
              </w:rPr>
              <w:t>2250</w:t>
            </w:r>
          </w:p>
        </w:tc>
        <w:tc>
          <w:tcPr>
            <w:tcW w:w="3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03FDCD98" w14:textId="77777777">
            <w:pPr>
              <w:spacing w:line="256" w:lineRule="auto"/>
              <w:rPr>
                <w:kern w:val="2"/>
                <w:shd w:val="clear" w:color="auto" w:fill="FFFFFF"/>
                <w:lang w:eastAsia="en-US"/>
                <w14:ligatures w14:val="standardContextual"/>
              </w:rPr>
            </w:pPr>
            <w:r>
              <w:rPr>
                <w:kern w:val="2"/>
                <w:shd w:val="clear" w:color="auto" w:fill="FFFFFF"/>
                <w:lang w:eastAsia="en-US"/>
                <w14:ligatures w14:val="standardContextual"/>
              </w:rPr>
              <w:t>Informācijas tehnoloģiju pakalpojumi</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3AC4F57E" w14:textId="77777777">
            <w:pPr>
              <w:spacing w:line="256" w:lineRule="auto"/>
              <w:jc w:val="right"/>
              <w:rPr>
                <w:b/>
                <w:kern w:val="2"/>
                <w:lang w:eastAsia="en-US"/>
                <w14:ligatures w14:val="standardContextual"/>
              </w:rPr>
            </w:pPr>
            <w:r>
              <w:rPr>
                <w:b/>
                <w:kern w:val="2"/>
                <w:lang w:eastAsia="en-US"/>
                <w14:ligatures w14:val="standardContextual"/>
              </w:rPr>
              <w:t>575</w:t>
            </w:r>
          </w:p>
        </w:tc>
      </w:tr>
      <w:tr w14:paraId="073A8E8D"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04CA3B03" w14:textId="77777777">
            <w:pPr>
              <w:spacing w:line="256" w:lineRule="auto"/>
              <w:rPr>
                <w:kern w:val="2"/>
                <w:lang w:eastAsia="en-US"/>
                <w14:ligatures w14:val="standardContextual"/>
              </w:rPr>
            </w:pPr>
            <w:r>
              <w:rPr>
                <w:kern w:val="2"/>
                <w:lang w:eastAsia="en-US"/>
                <w14:ligatures w14:val="standardContextual"/>
              </w:rPr>
              <w:t>2261</w:t>
            </w:r>
          </w:p>
        </w:tc>
        <w:tc>
          <w:tcPr>
            <w:tcW w:w="3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5D4692F1" w14:textId="77777777">
            <w:pPr>
              <w:spacing w:line="256" w:lineRule="auto"/>
              <w:rPr>
                <w:kern w:val="2"/>
                <w:shd w:val="clear" w:color="auto" w:fill="FFFFFF"/>
                <w:lang w:eastAsia="en-US"/>
                <w14:ligatures w14:val="standardContextual"/>
              </w:rPr>
            </w:pPr>
            <w:r>
              <w:rPr>
                <w:kern w:val="2"/>
                <w:shd w:val="clear" w:color="auto" w:fill="FFFFFF"/>
                <w:lang w:eastAsia="en-US"/>
                <w14:ligatures w14:val="standardContextual"/>
              </w:rPr>
              <w:t>Ēku, telpu īre un noma</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778011DF" w14:textId="77777777">
            <w:pPr>
              <w:spacing w:line="256" w:lineRule="auto"/>
              <w:jc w:val="right"/>
              <w:rPr>
                <w:b/>
                <w:kern w:val="2"/>
                <w:lang w:eastAsia="en-US"/>
                <w14:ligatures w14:val="standardContextual"/>
              </w:rPr>
            </w:pPr>
            <w:r>
              <w:rPr>
                <w:b/>
                <w:kern w:val="2"/>
                <w:lang w:eastAsia="en-US"/>
                <w14:ligatures w14:val="standardContextual"/>
              </w:rPr>
              <w:t>-2072</w:t>
            </w:r>
          </w:p>
        </w:tc>
      </w:tr>
      <w:tr w14:paraId="145A8E26"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6C7B787C" w14:textId="77777777">
            <w:pPr>
              <w:spacing w:line="256" w:lineRule="auto"/>
              <w:rPr>
                <w:kern w:val="2"/>
                <w:lang w:eastAsia="en-US"/>
                <w14:ligatures w14:val="standardContextual"/>
              </w:rPr>
            </w:pPr>
            <w:r>
              <w:rPr>
                <w:kern w:val="2"/>
                <w:lang w:eastAsia="en-US"/>
                <w14:ligatures w14:val="standardContextual"/>
              </w:rPr>
              <w:t>2312</w:t>
            </w:r>
          </w:p>
        </w:tc>
        <w:tc>
          <w:tcPr>
            <w:tcW w:w="3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57CA0EE7" w14:textId="77777777">
            <w:pPr>
              <w:spacing w:line="256" w:lineRule="auto"/>
              <w:rPr>
                <w:kern w:val="2"/>
                <w:shd w:val="clear" w:color="auto" w:fill="FFFFFF"/>
                <w:lang w:eastAsia="en-US"/>
                <w14:ligatures w14:val="standardContextual"/>
              </w:rPr>
            </w:pPr>
            <w:r>
              <w:rPr>
                <w:kern w:val="2"/>
                <w:shd w:val="clear" w:color="auto" w:fill="FFFFFF"/>
                <w:lang w:eastAsia="en-US"/>
                <w14:ligatures w14:val="standardContextual"/>
              </w:rPr>
              <w:t>Inventārs</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7DAA9672" w14:textId="77777777">
            <w:pPr>
              <w:spacing w:line="256" w:lineRule="auto"/>
              <w:jc w:val="right"/>
              <w:rPr>
                <w:b/>
                <w:kern w:val="2"/>
                <w:lang w:eastAsia="en-US"/>
                <w14:ligatures w14:val="standardContextual"/>
              </w:rPr>
            </w:pPr>
            <w:r>
              <w:rPr>
                <w:b/>
                <w:kern w:val="2"/>
                <w:lang w:eastAsia="en-US"/>
                <w14:ligatures w14:val="standardContextual"/>
              </w:rPr>
              <w:t>6550</w:t>
            </w:r>
          </w:p>
        </w:tc>
      </w:tr>
      <w:tr w14:paraId="652C5AF9"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710C0FA9" w14:textId="77777777">
            <w:pPr>
              <w:spacing w:line="256" w:lineRule="auto"/>
              <w:rPr>
                <w:kern w:val="2"/>
                <w:lang w:eastAsia="en-US"/>
                <w14:ligatures w14:val="standardContextual"/>
              </w:rPr>
            </w:pPr>
            <w:r>
              <w:rPr>
                <w:kern w:val="2"/>
                <w:lang w:eastAsia="en-US"/>
                <w14:ligatures w14:val="standardContextual"/>
              </w:rPr>
              <w:t>2322</w:t>
            </w:r>
          </w:p>
        </w:tc>
        <w:tc>
          <w:tcPr>
            <w:tcW w:w="3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76C1A7A6" w14:textId="77777777">
            <w:pPr>
              <w:spacing w:line="256" w:lineRule="auto"/>
              <w:rPr>
                <w:kern w:val="2"/>
                <w:shd w:val="clear" w:color="auto" w:fill="FFFFFF"/>
                <w:lang w:eastAsia="en-US"/>
                <w14:ligatures w14:val="standardContextual"/>
              </w:rPr>
            </w:pPr>
            <w:r>
              <w:rPr>
                <w:kern w:val="2"/>
                <w:shd w:val="clear" w:color="auto" w:fill="FFFFFF"/>
                <w:lang w:eastAsia="en-US"/>
                <w14:ligatures w14:val="standardContextual"/>
              </w:rPr>
              <w:t>Degviela</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7E4982D0" w14:textId="77777777">
            <w:pPr>
              <w:spacing w:line="256" w:lineRule="auto"/>
              <w:jc w:val="right"/>
              <w:rPr>
                <w:b/>
                <w:kern w:val="2"/>
                <w:lang w:eastAsia="en-US"/>
                <w14:ligatures w14:val="standardContextual"/>
              </w:rPr>
            </w:pPr>
            <w:r>
              <w:rPr>
                <w:b/>
                <w:kern w:val="2"/>
                <w:lang w:eastAsia="en-US"/>
                <w14:ligatures w14:val="standardContextual"/>
              </w:rPr>
              <w:t>-4550</w:t>
            </w:r>
          </w:p>
        </w:tc>
      </w:tr>
      <w:tr w14:paraId="59DE2A85"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71AAF492" w14:textId="77777777">
            <w:pPr>
              <w:spacing w:line="256" w:lineRule="auto"/>
              <w:rPr>
                <w:kern w:val="2"/>
                <w:lang w:eastAsia="en-US"/>
                <w14:ligatures w14:val="standardContextual"/>
              </w:rPr>
            </w:pPr>
            <w:r>
              <w:rPr>
                <w:kern w:val="2"/>
                <w:lang w:eastAsia="en-US"/>
                <w14:ligatures w14:val="standardContextual"/>
              </w:rPr>
              <w:t>2350</w:t>
            </w:r>
          </w:p>
        </w:tc>
        <w:tc>
          <w:tcPr>
            <w:tcW w:w="3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46757761" w14:textId="77777777">
            <w:pPr>
              <w:spacing w:line="256" w:lineRule="auto"/>
              <w:rPr>
                <w:kern w:val="2"/>
                <w:shd w:val="clear" w:color="auto" w:fill="FFFFFF"/>
                <w:lang w:eastAsia="en-US"/>
                <w14:ligatures w14:val="standardContextual"/>
              </w:rPr>
            </w:pPr>
            <w:r>
              <w:rPr>
                <w:kern w:val="2"/>
                <w:shd w:val="clear" w:color="auto" w:fill="FFFFFF"/>
                <w:lang w:eastAsia="en-US"/>
                <w14:ligatures w14:val="standardContextual"/>
              </w:rPr>
              <w:t>Iestāžu uzturēšanas materiāli un preces</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2371A546" w14:textId="77777777">
            <w:pPr>
              <w:spacing w:line="256" w:lineRule="auto"/>
              <w:jc w:val="right"/>
              <w:rPr>
                <w:b/>
                <w:kern w:val="2"/>
                <w:lang w:eastAsia="en-US"/>
                <w14:ligatures w14:val="standardContextual"/>
              </w:rPr>
            </w:pPr>
            <w:r>
              <w:rPr>
                <w:b/>
                <w:kern w:val="2"/>
                <w:lang w:eastAsia="en-US"/>
                <w14:ligatures w14:val="standardContextual"/>
              </w:rPr>
              <w:t>5000</w:t>
            </w:r>
          </w:p>
        </w:tc>
      </w:tr>
      <w:tr w14:paraId="4993148A"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3B122415" w14:textId="77777777">
            <w:pPr>
              <w:spacing w:line="256" w:lineRule="auto"/>
              <w:rPr>
                <w:kern w:val="2"/>
                <w:lang w:eastAsia="en-US"/>
                <w14:ligatures w14:val="standardContextual"/>
              </w:rPr>
            </w:pPr>
            <w:r>
              <w:rPr>
                <w:kern w:val="2"/>
                <w:lang w:eastAsia="en-US"/>
                <w14:ligatures w14:val="standardContextual"/>
              </w:rPr>
              <w:t>2512</w:t>
            </w:r>
          </w:p>
        </w:tc>
        <w:tc>
          <w:tcPr>
            <w:tcW w:w="3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41FF0575" w14:textId="77777777">
            <w:pPr>
              <w:spacing w:line="256" w:lineRule="auto"/>
              <w:rPr>
                <w:kern w:val="2"/>
                <w:lang w:eastAsia="en-US"/>
                <w14:ligatures w14:val="standardContextual"/>
              </w:rPr>
            </w:pPr>
            <w:r>
              <w:rPr>
                <w:kern w:val="2"/>
                <w:lang w:eastAsia="en-US"/>
                <w14:ligatures w14:val="standardContextual"/>
              </w:rPr>
              <w:t>Budžeta iestāžu pievienotās vērtības nodokļa maksājumi</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6F812C72" w14:textId="77777777">
            <w:pPr>
              <w:spacing w:line="256" w:lineRule="auto"/>
              <w:jc w:val="right"/>
              <w:rPr>
                <w:b/>
                <w:kern w:val="2"/>
                <w:highlight w:val="yellow"/>
                <w:lang w:eastAsia="en-US"/>
                <w14:ligatures w14:val="standardContextual"/>
              </w:rPr>
            </w:pPr>
            <w:r>
              <w:rPr>
                <w:b/>
                <w:kern w:val="2"/>
                <w:lang w:eastAsia="en-US"/>
                <w14:ligatures w14:val="standardContextual"/>
              </w:rPr>
              <w:t>-36026</w:t>
            </w:r>
          </w:p>
        </w:tc>
      </w:tr>
      <w:tr w14:paraId="3955B27D" w14:textId="77777777" w:rsidTr="00601944">
        <w:tblPrEx>
          <w:tblW w:w="6989" w:type="dxa"/>
          <w:tblInd w:w="-152" w:type="dxa"/>
          <w:tblCellMar>
            <w:left w:w="0" w:type="dxa"/>
            <w:right w:w="0" w:type="dxa"/>
          </w:tblCellMar>
          <w:tblLook w:val="04A0"/>
        </w:tblPrEx>
        <w:trPr>
          <w:gridAfter w:val="1"/>
          <w:wAfter w:w="41" w:type="dxa"/>
        </w:trPr>
        <w:tc>
          <w:tcPr>
            <w:tcW w:w="1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2A87C72E" w14:textId="77777777">
            <w:pPr>
              <w:spacing w:line="256" w:lineRule="auto"/>
              <w:rPr>
                <w:kern w:val="2"/>
                <w:lang w:eastAsia="en-US"/>
                <w14:ligatures w14:val="standardContextual"/>
              </w:rPr>
            </w:pPr>
            <w:r>
              <w:rPr>
                <w:kern w:val="2"/>
                <w:lang w:eastAsia="en-US"/>
                <w14:ligatures w14:val="standardContextual"/>
              </w:rPr>
              <w:t>5120</w:t>
            </w:r>
          </w:p>
        </w:tc>
        <w:tc>
          <w:tcPr>
            <w:tcW w:w="3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35F0E968" w14:textId="77777777">
            <w:pPr>
              <w:spacing w:line="256" w:lineRule="auto"/>
              <w:rPr>
                <w:kern w:val="2"/>
                <w:lang w:eastAsia="en-US"/>
                <w14:ligatures w14:val="standardContextual"/>
              </w:rPr>
            </w:pPr>
            <w:r>
              <w:rPr>
                <w:kern w:val="2"/>
                <w:lang w:eastAsia="en-US"/>
                <w14:ligatures w14:val="standardContextual"/>
              </w:rPr>
              <w:t>Licences, koncesijas un patenti, preču zīmes un līdzīgas tiesības</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01944" w14:paraId="76370F5F" w14:textId="77777777">
            <w:pPr>
              <w:spacing w:line="256" w:lineRule="auto"/>
              <w:jc w:val="right"/>
              <w:rPr>
                <w:b/>
                <w:kern w:val="2"/>
                <w:lang w:eastAsia="en-US"/>
                <w14:ligatures w14:val="standardContextual"/>
              </w:rPr>
            </w:pPr>
            <w:r>
              <w:rPr>
                <w:b/>
                <w:kern w:val="2"/>
                <w:lang w:eastAsia="en-US"/>
                <w14:ligatures w14:val="standardContextual"/>
              </w:rPr>
              <w:t>67974</w:t>
            </w:r>
          </w:p>
        </w:tc>
      </w:tr>
    </w:tbl>
    <w:p w:rsidR="00601944" w:rsidP="00601944" w14:paraId="27AD2C5E" w14:textId="77777777">
      <w:pPr>
        <w:jc w:val="both"/>
        <w:rPr>
          <w:bCs/>
          <w:sz w:val="22"/>
          <w:szCs w:val="22"/>
        </w:rPr>
      </w:pPr>
      <w:r>
        <w:rPr>
          <w:b/>
          <w:sz w:val="26"/>
          <w:szCs w:val="26"/>
        </w:rPr>
        <w:t xml:space="preserve"> </w:t>
      </w:r>
      <w:r>
        <w:rPr>
          <w:bCs/>
          <w:sz w:val="22"/>
          <w:szCs w:val="22"/>
        </w:rPr>
        <w:t xml:space="preserve">Budžeta iestāžu ieņēmumu </w:t>
      </w:r>
      <w:r>
        <w:rPr>
          <w:bCs/>
          <w:sz w:val="22"/>
          <w:szCs w:val="22"/>
        </w:rPr>
        <w:t>palielinājums tiks novirzīts uz EKK 1142, EKK 1210, EKK 5120</w:t>
      </w:r>
    </w:p>
    <w:p w:rsidR="00601944" w:rsidP="00601944" w14:paraId="398BEC83" w14:textId="77777777">
      <w:pPr>
        <w:jc w:val="both"/>
        <w:rPr>
          <w:b/>
          <w:sz w:val="20"/>
          <w:szCs w:val="20"/>
        </w:rPr>
      </w:pPr>
    </w:p>
    <w:p w:rsidR="00601944" w:rsidP="00601944" w14:paraId="47FD39AD" w14:textId="77777777">
      <w:pPr>
        <w:jc w:val="both"/>
        <w:rPr>
          <w:b/>
          <w:sz w:val="26"/>
          <w:szCs w:val="26"/>
        </w:rPr>
      </w:pPr>
      <w:r>
        <w:rPr>
          <w:b/>
          <w:sz w:val="26"/>
          <w:szCs w:val="26"/>
        </w:rPr>
        <w:t>EKK 18.620</w:t>
      </w:r>
    </w:p>
    <w:p w:rsidR="00601944" w:rsidP="00601944" w14:paraId="3AE3B0F6" w14:textId="4EFA3E6C">
      <w:pPr>
        <w:jc w:val="both"/>
        <w:rPr>
          <w:sz w:val="26"/>
          <w:szCs w:val="26"/>
        </w:rPr>
      </w:pPr>
      <w:r>
        <w:rPr>
          <w:b/>
          <w:sz w:val="26"/>
          <w:szCs w:val="26"/>
        </w:rPr>
        <w:tab/>
      </w:r>
      <w:r>
        <w:rPr>
          <w:sz w:val="26"/>
          <w:szCs w:val="26"/>
        </w:rPr>
        <w:t>Sakarā ar Rīgas valstspilsētas pašvaldības iestāžu dalību jauniešu nodarbināšanā vasarā Nodarbinātības valsts aģentūras programmas “Nodarbinātības pasākumi vasaras brīvlaikā personām, kuras iegūst izglītību vispārējās, speciālās vai profesionālās izglītības iestādēs” ietvaros palielināti valsts budžeta transferti par 840 EUR (Nodarbinātības valsts aģentūras finansējums par divu skolēnu nodarbinātību un darba vadītājam par skolēna darba vadīšanu).</w:t>
      </w:r>
    </w:p>
    <w:p w:rsidR="00601944" w:rsidP="00601944" w14:paraId="4C08A6D5" w14:textId="77777777">
      <w:pPr>
        <w:jc w:val="both"/>
        <w:rPr>
          <w:sz w:val="26"/>
          <w:szCs w:val="26"/>
        </w:rPr>
      </w:pPr>
    </w:p>
    <w:p w:rsidR="00601944" w:rsidP="00601944" w14:paraId="02F50E94" w14:textId="77777777">
      <w:pPr>
        <w:jc w:val="both"/>
        <w:rPr>
          <w:b/>
          <w:bCs/>
          <w:sz w:val="26"/>
          <w:szCs w:val="26"/>
        </w:rPr>
      </w:pPr>
      <w:r>
        <w:rPr>
          <w:b/>
          <w:bCs/>
          <w:sz w:val="26"/>
          <w:szCs w:val="26"/>
        </w:rPr>
        <w:t>EKK 21.384</w:t>
      </w:r>
    </w:p>
    <w:p w:rsidR="00601944" w:rsidP="00601944" w14:paraId="0E3CE50A" w14:textId="77777777">
      <w:pPr>
        <w:jc w:val="both"/>
        <w:rPr>
          <w:b/>
          <w:bCs/>
          <w:sz w:val="26"/>
          <w:szCs w:val="26"/>
        </w:rPr>
      </w:pPr>
      <w:r>
        <w:rPr>
          <w:b/>
          <w:bCs/>
          <w:sz w:val="26"/>
          <w:szCs w:val="26"/>
        </w:rPr>
        <w:tab/>
      </w:r>
    </w:p>
    <w:p w:rsidR="00601944" w:rsidP="00601944" w14:paraId="512B56A0" w14:textId="77777777">
      <w:pPr>
        <w:jc w:val="both"/>
        <w:rPr>
          <w:bCs/>
          <w:sz w:val="26"/>
          <w:szCs w:val="26"/>
        </w:rPr>
      </w:pPr>
      <w:r>
        <w:rPr>
          <w:sz w:val="26"/>
          <w:szCs w:val="26"/>
        </w:rPr>
        <w:tab/>
        <w:t xml:space="preserve">Pamatojoties uz grozījumiem </w:t>
      </w:r>
      <w:r>
        <w:rPr>
          <w:bCs/>
          <w:sz w:val="26"/>
          <w:szCs w:val="26"/>
        </w:rPr>
        <w:t>likumā “Par atjaunotās Latvijas Republikas 1937.gada Civillikuma ievada, mantojuma tiesību un lietu tiesību daļas spēkā stāšanās laiku un piemērošanas kārtību” palielinās Komisijas ieņēmumi.</w:t>
      </w:r>
    </w:p>
    <w:p w:rsidR="00601944" w:rsidP="00601944" w14:paraId="06A70621" w14:textId="77777777">
      <w:pPr>
        <w:jc w:val="both"/>
        <w:rPr>
          <w:sz w:val="26"/>
          <w:szCs w:val="26"/>
        </w:rPr>
      </w:pPr>
    </w:p>
    <w:p w:rsidR="00601944" w:rsidP="00601944" w14:paraId="50A2D6D6" w14:textId="77777777">
      <w:pPr>
        <w:jc w:val="both"/>
        <w:rPr>
          <w:b/>
          <w:bCs/>
          <w:sz w:val="26"/>
          <w:szCs w:val="26"/>
        </w:rPr>
      </w:pPr>
      <w:r>
        <w:rPr>
          <w:b/>
          <w:bCs/>
          <w:sz w:val="26"/>
          <w:szCs w:val="26"/>
        </w:rPr>
        <w:t xml:space="preserve">EKK </w:t>
      </w:r>
      <w:r>
        <w:rPr>
          <w:b/>
          <w:bCs/>
          <w:sz w:val="26"/>
          <w:szCs w:val="26"/>
        </w:rPr>
        <w:t>1142</w:t>
      </w:r>
    </w:p>
    <w:p w:rsidR="00601944" w:rsidP="00601944" w14:paraId="1218A816" w14:textId="77777777">
      <w:pPr>
        <w:ind w:firstLine="720"/>
        <w:jc w:val="both"/>
        <w:rPr>
          <w:sz w:val="26"/>
          <w:szCs w:val="26"/>
          <w:highlight w:val="yellow"/>
        </w:rPr>
      </w:pPr>
      <w:r>
        <w:rPr>
          <w:sz w:val="26"/>
          <w:szCs w:val="26"/>
        </w:rPr>
        <w:fldChar w:fldCharType="begin"/>
      </w:r>
      <w:r>
        <w:rPr>
          <w:sz w:val="26"/>
          <w:szCs w:val="26"/>
        </w:rPr>
        <w:instrText xml:space="preserve"> DOCPROPERTY  PARAKSTITAJA1_STV_AMATS_PILNAIS  \* MERGEFORMAT </w:instrText>
      </w:r>
      <w:r>
        <w:rPr>
          <w:sz w:val="26"/>
          <w:szCs w:val="26"/>
        </w:rPr>
        <w:fldChar w:fldCharType="separate"/>
      </w:r>
      <w:r>
        <w:rPr>
          <w:sz w:val="26"/>
          <w:szCs w:val="26"/>
        </w:rPr>
        <w:t>Rīgas valstspilsētas  pašvaldības Dzīvojamo māju privatizācijas komisijas priekšsēdētāja vietnieks</w:t>
      </w:r>
      <w:r>
        <w:rPr>
          <w:sz w:val="26"/>
          <w:szCs w:val="26"/>
        </w:rPr>
        <w:fldChar w:fldCharType="end"/>
      </w:r>
      <w:r>
        <w:rPr>
          <w:sz w:val="26"/>
          <w:szCs w:val="26"/>
        </w:rPr>
        <w:t xml:space="preserve"> inventarizācijas darba grupā tiek piesaistīti četri Komisijas darbinieki, lai veiktu pārskata gada inventarizāciju par pašvaldības īpašumā (valdījumā, turējumā, lietojumā, utt.) esošo </w:t>
      </w:r>
      <w:r>
        <w:rPr>
          <w:sz w:val="26"/>
          <w:szCs w:val="26"/>
        </w:rPr>
        <w:t xml:space="preserve">dzīvojamo ēku, ar tām funkcionāli saistīto zemju, palīgēku un būvju, zemju, kas tiek saglabātas pašvaldības īpašumā un nodotas nomā, krājumu un ilgtermiņa ieguldījumu atsavināšanai, par kuriem ir pieņemti Rīgas domes lēmumi. </w:t>
      </w:r>
    </w:p>
    <w:p w:rsidR="00601944" w:rsidP="00601944" w14:paraId="56F50D63" w14:textId="77777777">
      <w:pPr>
        <w:ind w:firstLine="720"/>
        <w:jc w:val="both"/>
        <w:rPr>
          <w:sz w:val="26"/>
          <w:szCs w:val="26"/>
        </w:rPr>
      </w:pPr>
      <w:r>
        <w:rPr>
          <w:sz w:val="26"/>
          <w:szCs w:val="26"/>
        </w:rPr>
        <w:t xml:space="preserve">Pieci Komisijas darbinieki tiek norīkoti veikt Komisijas 2024.gada slēguma inventarizāciju. </w:t>
      </w:r>
    </w:p>
    <w:p w:rsidR="00601944" w:rsidP="00601944" w14:paraId="120F6E0D" w14:textId="77777777">
      <w:pPr>
        <w:ind w:firstLine="720"/>
        <w:jc w:val="both"/>
        <w:rPr>
          <w:b/>
          <w:sz w:val="26"/>
          <w:szCs w:val="26"/>
        </w:rPr>
      </w:pPr>
    </w:p>
    <w:p w:rsidR="00601944" w:rsidP="00601944" w14:paraId="74FDAF74" w14:textId="77777777">
      <w:pPr>
        <w:jc w:val="both"/>
        <w:rPr>
          <w:b/>
          <w:sz w:val="26"/>
          <w:szCs w:val="26"/>
        </w:rPr>
      </w:pPr>
      <w:r>
        <w:rPr>
          <w:b/>
          <w:sz w:val="26"/>
          <w:szCs w:val="26"/>
        </w:rPr>
        <w:t xml:space="preserve">EKK 1210 </w:t>
      </w:r>
    </w:p>
    <w:p w:rsidR="00601944" w:rsidP="00601944" w14:paraId="4340E0F6" w14:textId="77777777">
      <w:pPr>
        <w:jc w:val="both"/>
        <w:rPr>
          <w:sz w:val="26"/>
          <w:szCs w:val="26"/>
        </w:rPr>
      </w:pPr>
      <w:r>
        <w:rPr>
          <w:b/>
          <w:sz w:val="26"/>
          <w:szCs w:val="26"/>
        </w:rPr>
        <w:tab/>
      </w:r>
      <w:r>
        <w:rPr>
          <w:sz w:val="26"/>
          <w:szCs w:val="26"/>
        </w:rPr>
        <w:t>Darba devēja valsts sociālās apdrošināšanas obligātās iemaksas 2126 EUR *23.59%= 502 EUR.</w:t>
      </w:r>
    </w:p>
    <w:p w:rsidR="00601944" w:rsidP="00601944" w14:paraId="2B0325E5" w14:textId="77777777">
      <w:pPr>
        <w:jc w:val="both"/>
        <w:rPr>
          <w:bCs/>
          <w:sz w:val="26"/>
          <w:szCs w:val="26"/>
        </w:rPr>
      </w:pPr>
    </w:p>
    <w:p w:rsidR="00601944" w:rsidP="00601944" w14:paraId="32D18494" w14:textId="77777777">
      <w:pPr>
        <w:jc w:val="both"/>
        <w:rPr>
          <w:b/>
          <w:sz w:val="26"/>
          <w:szCs w:val="26"/>
        </w:rPr>
      </w:pPr>
      <w:r>
        <w:rPr>
          <w:b/>
          <w:sz w:val="26"/>
          <w:szCs w:val="26"/>
        </w:rPr>
        <w:t>EKK 1221</w:t>
      </w:r>
    </w:p>
    <w:p w:rsidR="00601944" w:rsidP="00601944" w14:paraId="2AD7F90F" w14:textId="77777777">
      <w:pPr>
        <w:ind w:firstLine="720"/>
        <w:jc w:val="both"/>
        <w:rPr>
          <w:bCs/>
          <w:sz w:val="26"/>
          <w:szCs w:val="26"/>
        </w:rPr>
      </w:pPr>
      <w:r>
        <w:rPr>
          <w:bCs/>
          <w:sz w:val="26"/>
          <w:szCs w:val="26"/>
        </w:rPr>
        <w:t>Sakarā ar Komisijas darbinieku slimošanu, līdz gada beigām nepieciešami 900 EUR, darbnespējas lapas apmaksai.</w:t>
      </w:r>
    </w:p>
    <w:p w:rsidR="00601944" w:rsidP="00601944" w14:paraId="3A7A7F61" w14:textId="77777777">
      <w:pPr>
        <w:ind w:firstLine="720"/>
        <w:jc w:val="both"/>
        <w:rPr>
          <w:bCs/>
          <w:sz w:val="26"/>
          <w:szCs w:val="26"/>
        </w:rPr>
      </w:pPr>
    </w:p>
    <w:p w:rsidR="00601944" w:rsidP="00601944" w14:paraId="0875784B" w14:textId="77777777">
      <w:pPr>
        <w:jc w:val="both"/>
        <w:rPr>
          <w:b/>
          <w:bCs/>
          <w:sz w:val="26"/>
          <w:szCs w:val="26"/>
        </w:rPr>
      </w:pPr>
      <w:r>
        <w:rPr>
          <w:b/>
          <w:bCs/>
          <w:sz w:val="26"/>
          <w:szCs w:val="26"/>
        </w:rPr>
        <w:t>EKK 2210</w:t>
      </w:r>
    </w:p>
    <w:p w:rsidR="00601944" w:rsidP="00601944" w14:paraId="1D9496BC" w14:textId="77777777">
      <w:pPr>
        <w:ind w:firstLine="720"/>
        <w:jc w:val="both"/>
        <w:rPr>
          <w:sz w:val="26"/>
          <w:szCs w:val="26"/>
        </w:rPr>
      </w:pPr>
      <w:r>
        <w:rPr>
          <w:bCs/>
          <w:sz w:val="26"/>
          <w:szCs w:val="26"/>
        </w:rPr>
        <w:t>Saskaņā ar grozījumiem likumā “Par atjaunotā Latvijas Republikas 1937.gada Civillikuma ievada, mantojuma</w:t>
      </w:r>
      <w:r>
        <w:rPr>
          <w:sz w:val="26"/>
          <w:szCs w:val="26"/>
        </w:rPr>
        <w:t xml:space="preserve"> tiesību un lietu tiesību daļas spēkā stāšanās laiku un piemērošanas kārtību” .</w:t>
      </w:r>
    </w:p>
    <w:p w:rsidR="00601944" w:rsidP="00601944" w14:paraId="68677AB1" w14:textId="77777777">
      <w:pPr>
        <w:jc w:val="both"/>
        <w:rPr>
          <w:sz w:val="26"/>
          <w:szCs w:val="26"/>
        </w:rPr>
      </w:pPr>
    </w:p>
    <w:p w:rsidR="00601944" w:rsidP="00601944" w14:paraId="64DAD4AE" w14:textId="77777777">
      <w:pPr>
        <w:jc w:val="both"/>
        <w:rPr>
          <w:b/>
          <w:bCs/>
          <w:sz w:val="26"/>
          <w:szCs w:val="26"/>
        </w:rPr>
      </w:pPr>
      <w:r>
        <w:rPr>
          <w:b/>
          <w:bCs/>
          <w:sz w:val="26"/>
          <w:szCs w:val="26"/>
        </w:rPr>
        <w:t>EKK 2234</w:t>
      </w:r>
    </w:p>
    <w:p w:rsidR="00601944" w:rsidP="00601944" w14:paraId="3A1E0522" w14:textId="77777777">
      <w:pPr>
        <w:jc w:val="both"/>
        <w:rPr>
          <w:sz w:val="26"/>
          <w:szCs w:val="26"/>
        </w:rPr>
      </w:pPr>
      <w:r>
        <w:rPr>
          <w:b/>
          <w:bCs/>
          <w:sz w:val="26"/>
          <w:szCs w:val="26"/>
        </w:rPr>
        <w:tab/>
      </w:r>
      <w:r>
        <w:rPr>
          <w:sz w:val="26"/>
          <w:szCs w:val="26"/>
        </w:rPr>
        <w:t>Pamatojoties uz 10.03.2009. Ministru kabineta noteikumiem Nr.219, Komisijas darbinieki tiek nosūtīti uz Obligātās veselības pārbaudi (turpmāk – OVP), darbinieki, kuriem nav Rīgas valstspilsētas pašvaldības piešķirtā veselības apdrošināšanas polise, Komisija apmaksā OVP izdevumus.</w:t>
      </w:r>
    </w:p>
    <w:p w:rsidR="00601944" w:rsidP="00601944" w14:paraId="2CB7AEBD" w14:textId="77777777">
      <w:pPr>
        <w:jc w:val="both"/>
        <w:rPr>
          <w:sz w:val="26"/>
          <w:szCs w:val="26"/>
        </w:rPr>
      </w:pPr>
    </w:p>
    <w:p w:rsidR="00601944" w:rsidP="00601944" w14:paraId="1DB743C8" w14:textId="77777777">
      <w:pPr>
        <w:jc w:val="both"/>
        <w:rPr>
          <w:b/>
          <w:bCs/>
          <w:sz w:val="26"/>
          <w:szCs w:val="26"/>
        </w:rPr>
      </w:pPr>
      <w:r>
        <w:rPr>
          <w:b/>
          <w:bCs/>
          <w:sz w:val="26"/>
          <w:szCs w:val="26"/>
        </w:rPr>
        <w:t>EKK 2250</w:t>
      </w:r>
    </w:p>
    <w:p w:rsidR="00601944" w:rsidP="00601944" w14:paraId="1AB00F33" w14:textId="77777777">
      <w:pPr>
        <w:jc w:val="both"/>
        <w:rPr>
          <w:sz w:val="26"/>
          <w:szCs w:val="26"/>
        </w:rPr>
      </w:pPr>
      <w:r>
        <w:rPr>
          <w:b/>
          <w:bCs/>
          <w:sz w:val="26"/>
          <w:szCs w:val="26"/>
        </w:rPr>
        <w:tab/>
      </w:r>
      <w:r>
        <w:rPr>
          <w:sz w:val="26"/>
          <w:szCs w:val="26"/>
        </w:rPr>
        <w:t>Komisijas iesniegtie rēķini par zemes likumisko lietošanu Digitālā pasta sistēmas failā satur vairāk kā vienu lapas pusi, lai ekonomētu Rīgas valstspilsētas pašvaldības līdzekļus tie būtu jāizdrukā abpusējā drukā, tāpēc nepieciešams pielāgot Digitālā pasta sistēmu, nepieciešami papildus līdzekļi 575 EUR apmērā.</w:t>
      </w:r>
    </w:p>
    <w:p w:rsidR="00601944" w:rsidP="00601944" w14:paraId="6F43CC33" w14:textId="77777777">
      <w:pPr>
        <w:jc w:val="both"/>
        <w:rPr>
          <w:sz w:val="26"/>
          <w:szCs w:val="26"/>
        </w:rPr>
      </w:pPr>
    </w:p>
    <w:p w:rsidR="00601944" w:rsidP="00601944" w14:paraId="16FDB4F8" w14:textId="77777777">
      <w:pPr>
        <w:jc w:val="both"/>
        <w:rPr>
          <w:b/>
          <w:sz w:val="26"/>
          <w:szCs w:val="26"/>
        </w:rPr>
      </w:pPr>
      <w:r>
        <w:rPr>
          <w:b/>
          <w:sz w:val="26"/>
          <w:szCs w:val="26"/>
        </w:rPr>
        <w:t>EKK 2312</w:t>
      </w:r>
    </w:p>
    <w:p w:rsidR="00601944" w:rsidP="00601944" w14:paraId="1E144C10" w14:textId="77777777">
      <w:pPr>
        <w:jc w:val="both"/>
        <w:rPr>
          <w:sz w:val="26"/>
          <w:szCs w:val="26"/>
        </w:rPr>
      </w:pPr>
      <w:r>
        <w:rPr>
          <w:b/>
          <w:sz w:val="26"/>
          <w:szCs w:val="26"/>
        </w:rPr>
        <w:tab/>
      </w:r>
      <w:r>
        <w:rPr>
          <w:bCs/>
          <w:sz w:val="26"/>
          <w:szCs w:val="26"/>
        </w:rPr>
        <w:t>Komisija 2024.gada budžetā kapitālajos izdevumos plānoja iegādāties 10 stacionāros datorus, iepirkuma rezultātā Rīgas valstspilsētas pašvaldības aģentūra “</w:t>
      </w:r>
      <w:r>
        <w:rPr>
          <w:sz w:val="26"/>
          <w:szCs w:val="26"/>
        </w:rPr>
        <w:t>Rīgas digitālās aģentūra” tos iegādājās kā inventāru.</w:t>
      </w:r>
    </w:p>
    <w:p w:rsidR="00601944" w:rsidP="00601944" w14:paraId="0BB6BD9C" w14:textId="77777777">
      <w:pPr>
        <w:jc w:val="both"/>
        <w:rPr>
          <w:bCs/>
          <w:sz w:val="26"/>
          <w:szCs w:val="26"/>
        </w:rPr>
      </w:pPr>
    </w:p>
    <w:p w:rsidR="00601944" w:rsidP="00601944" w14:paraId="7C94BB32" w14:textId="77777777">
      <w:pPr>
        <w:jc w:val="both"/>
        <w:rPr>
          <w:b/>
          <w:sz w:val="26"/>
          <w:szCs w:val="26"/>
        </w:rPr>
      </w:pPr>
      <w:r>
        <w:rPr>
          <w:b/>
          <w:sz w:val="26"/>
          <w:szCs w:val="26"/>
        </w:rPr>
        <w:t>EKK 2350</w:t>
      </w:r>
    </w:p>
    <w:p w:rsidR="00601944" w:rsidP="00601944" w14:paraId="70DE6FD6" w14:textId="77777777">
      <w:pPr>
        <w:ind w:firstLine="720"/>
        <w:jc w:val="both"/>
        <w:rPr>
          <w:bCs/>
          <w:sz w:val="26"/>
          <w:szCs w:val="26"/>
        </w:rPr>
      </w:pPr>
      <w:r>
        <w:rPr>
          <w:bCs/>
          <w:sz w:val="26"/>
          <w:szCs w:val="26"/>
        </w:rPr>
        <w:t>Komisijas biroja ēkā, Pērses ielā 10/12, Rīgā kabinetos nepieciešams nomainīt rozetes un slēdžus, nepieciešami līdzekļi 5000 EUR apmērā.</w:t>
      </w:r>
    </w:p>
    <w:p w:rsidR="00601944" w:rsidP="00601944" w14:paraId="20755C8E" w14:textId="77777777">
      <w:pPr>
        <w:ind w:firstLine="720"/>
        <w:jc w:val="both"/>
        <w:rPr>
          <w:bCs/>
          <w:sz w:val="26"/>
          <w:szCs w:val="26"/>
        </w:rPr>
      </w:pPr>
    </w:p>
    <w:p w:rsidR="00601944" w:rsidP="00601944" w14:paraId="516C7825" w14:textId="77777777">
      <w:pPr>
        <w:jc w:val="both"/>
        <w:rPr>
          <w:bCs/>
          <w:sz w:val="26"/>
          <w:szCs w:val="26"/>
        </w:rPr>
      </w:pPr>
    </w:p>
    <w:p w:rsidR="00601944" w:rsidP="00601944" w14:paraId="494A04FF" w14:textId="77777777">
      <w:pPr>
        <w:jc w:val="both"/>
        <w:rPr>
          <w:b/>
          <w:sz w:val="26"/>
          <w:szCs w:val="26"/>
        </w:rPr>
      </w:pPr>
      <w:r>
        <w:rPr>
          <w:b/>
          <w:sz w:val="26"/>
          <w:szCs w:val="26"/>
        </w:rPr>
        <w:t>EKK 5120</w:t>
      </w:r>
    </w:p>
    <w:p w:rsidR="00601944" w:rsidP="00601944" w14:paraId="37AE9782" w14:textId="77777777">
      <w:pPr>
        <w:jc w:val="both"/>
        <w:rPr>
          <w:bCs/>
          <w:sz w:val="26"/>
          <w:szCs w:val="26"/>
        </w:rPr>
      </w:pPr>
      <w:r>
        <w:rPr>
          <w:b/>
          <w:sz w:val="26"/>
          <w:szCs w:val="26"/>
        </w:rPr>
        <w:tab/>
      </w:r>
      <w:r>
        <w:rPr>
          <w:bCs/>
          <w:sz w:val="26"/>
          <w:szCs w:val="26"/>
        </w:rPr>
        <w:t xml:space="preserve">Saistībā ar grozījumiem likumā “Par atjaunotās Latvijas Republikas 1937.gada Civillikuma ievada, mantojuma tiesību un lietu tiesību daļas spēkā stāšanās laiku un piemērošanas kārtību”, kuri stājās spēkā 01.07.2024. un grozījumiem Nekustamā īpašuma valsts kadastra likumā, kuri stājas spēkā 27.06.2024. nepieciešami grozījumi lietojumprogrammā Līgumi2. </w:t>
      </w:r>
      <w:r>
        <w:rPr>
          <w:sz w:val="26"/>
          <w:szCs w:val="26"/>
        </w:rPr>
        <w:t xml:space="preserve">Pēc Rīgas valstspilsētas pašvaldības aģentūras “Rīgas digitālā </w:t>
      </w:r>
      <w:r>
        <w:rPr>
          <w:sz w:val="26"/>
          <w:szCs w:val="26"/>
        </w:rPr>
        <w:t xml:space="preserve">aģentūra” informācijas, </w:t>
      </w:r>
      <w:r>
        <w:rPr>
          <w:bCs/>
          <w:sz w:val="26"/>
          <w:szCs w:val="26"/>
        </w:rPr>
        <w:t>kopējo izmaksu tāme sastāda 85 456 EUR bez PVN (103402 EUR ar PVN). Komis</w:t>
      </w:r>
      <w:r>
        <w:rPr>
          <w:bCs/>
          <w:sz w:val="26"/>
          <w:szCs w:val="26"/>
        </w:rPr>
        <w:t>ijai pieejamais atlikums no gada sākuma 35428 EUR,  papildus nepieciešami 67974 EUR t.sk. PVN.</w:t>
      </w:r>
    </w:p>
    <w:p w:rsidR="009268C5" w:rsidP="009268C5" w14:paraId="0BE2BD27" w14:textId="6CB695AB">
      <w:pPr>
        <w:widowControl w:val="0"/>
        <w:ind w:firstLine="709"/>
        <w:jc w:val="both"/>
        <w:rPr>
          <w:rFonts w:eastAsia="Calibri"/>
          <w:i/>
          <w:iCs/>
          <w:noProof/>
          <w:sz w:val="26"/>
          <w:szCs w:val="26"/>
          <w:lang w:eastAsia="en-US"/>
        </w:rPr>
      </w:pPr>
    </w:p>
    <w:p w:rsidR="00CA6DDE" w:rsidRPr="00D11E90" w:rsidP="009268C5" w14:paraId="33989F75" w14:textId="77777777">
      <w:pPr>
        <w:widowControl w:val="0"/>
        <w:ind w:firstLine="709"/>
        <w:jc w:val="both"/>
        <w:rPr>
          <w:rFonts w:eastAsia="Calibri"/>
          <w:i/>
          <w:iCs/>
          <w:noProof/>
          <w:sz w:val="26"/>
          <w:szCs w:val="26"/>
          <w:lang w:eastAsia="en-US"/>
        </w:rPr>
      </w:pPr>
    </w:p>
    <w:p w:rsidR="009268C5" w:rsidRPr="00D11E90" w:rsidP="009268C5" w14:paraId="3CD3EE84" w14:textId="16F4E55E">
      <w:pPr>
        <w:widowControl w:val="0"/>
        <w:jc w:val="both"/>
        <w:rPr>
          <w:rFonts w:eastAsia="Calibri"/>
          <w:i/>
          <w:iCs/>
          <w:noProof/>
          <w:sz w:val="26"/>
          <w:szCs w:val="26"/>
          <w:lang w:eastAsia="en-US"/>
        </w:rPr>
      </w:pPr>
      <w:r w:rsidRPr="00D11E90">
        <w:rPr>
          <w:rFonts w:eastAsia="Calibri"/>
          <w:i/>
          <w:iCs/>
          <w:noProof/>
          <w:sz w:val="26"/>
          <w:szCs w:val="26"/>
          <w:lang w:eastAsia="en-US"/>
        </w:rPr>
        <w:t xml:space="preserve">Rīgas domes Pilsētas īpašuma komiteja </w:t>
      </w:r>
      <w:r w:rsidRPr="00D11E90">
        <w:rPr>
          <w:rFonts w:eastAsia="Calibri"/>
          <w:noProof/>
          <w:sz w:val="26"/>
          <w:szCs w:val="26"/>
          <w:lang w:eastAsia="en-US"/>
        </w:rPr>
        <w:t>nolemj</w:t>
      </w:r>
      <w:r w:rsidRPr="00D11E90">
        <w:rPr>
          <w:rFonts w:eastAsia="Calibri"/>
          <w:i/>
          <w:iCs/>
          <w:noProof/>
          <w:sz w:val="26"/>
          <w:szCs w:val="26"/>
          <w:lang w:eastAsia="en-US"/>
        </w:rPr>
        <w:t>:</w:t>
      </w:r>
    </w:p>
    <w:p w:rsidR="009268C5" w:rsidP="009268C5" w14:paraId="719F9562" w14:textId="5033F1CC">
      <w:pPr>
        <w:widowControl w:val="0"/>
        <w:jc w:val="both"/>
        <w:rPr>
          <w:rFonts w:eastAsia="Calibri"/>
          <w:i/>
          <w:iCs/>
          <w:noProof/>
          <w:sz w:val="26"/>
          <w:szCs w:val="26"/>
          <w:lang w:eastAsia="en-US"/>
        </w:rPr>
      </w:pPr>
    </w:p>
    <w:p w:rsidR="00F346C8" w:rsidRPr="00BD7F44" w:rsidP="009268C5" w14:paraId="73D00FE0" w14:textId="5DC36D3F">
      <w:pPr>
        <w:widowControl w:val="0"/>
        <w:jc w:val="both"/>
        <w:rPr>
          <w:rFonts w:eastAsia="Calibri"/>
          <w:noProof/>
          <w:sz w:val="26"/>
          <w:szCs w:val="26"/>
          <w:lang w:eastAsia="en-US"/>
        </w:rPr>
      </w:pPr>
      <w:r w:rsidRPr="00BD7F44">
        <w:rPr>
          <w:rFonts w:eastAsia="Calibri"/>
          <w:noProof/>
          <w:sz w:val="26"/>
          <w:szCs w:val="26"/>
          <w:lang w:eastAsia="en-US"/>
        </w:rPr>
        <w:t xml:space="preserve">Apstiprināt </w:t>
      </w:r>
      <w:r>
        <w:rPr>
          <w:rFonts w:eastAsia="Calibri"/>
          <w:noProof/>
          <w:sz w:val="26"/>
          <w:szCs w:val="26"/>
          <w:lang w:eastAsia="en-US"/>
        </w:rPr>
        <w:t xml:space="preserve">Rīgas valstspilsētas pašvaldības Dzīvojamo māju privatizācijas komisijas iesniegtos 2024.gada budžeta grozījumus: </w:t>
      </w:r>
      <w:r>
        <w:rPr>
          <w:sz w:val="26"/>
          <w:szCs w:val="26"/>
        </w:rPr>
        <w:t>p</w:t>
      </w:r>
      <w:r>
        <w:rPr>
          <w:sz w:val="26"/>
          <w:szCs w:val="26"/>
        </w:rPr>
        <w:t>alielinot budžeta transfertus par 840 EUR, budžeta iestāžu ieņēmumus par 29752 EUR, ieņēmumus par zemes nomu par 39737 EUR un</w:t>
      </w:r>
      <w:r>
        <w:rPr>
          <w:sz w:val="26"/>
          <w:szCs w:val="26"/>
        </w:rPr>
        <w:t xml:space="preserve"> naudas līdzekļu pārvietošanu programmas ietvaros.</w:t>
      </w:r>
    </w:p>
    <w:p w:rsidR="00F346C8" w:rsidP="009268C5" w14:paraId="41BEFA0A" w14:textId="568B2F24">
      <w:pPr>
        <w:widowControl w:val="0"/>
        <w:jc w:val="both"/>
        <w:rPr>
          <w:rFonts w:eastAsia="Calibri"/>
          <w:i/>
          <w:iCs/>
          <w:noProof/>
          <w:sz w:val="26"/>
          <w:szCs w:val="26"/>
          <w:lang w:eastAsia="en-US"/>
        </w:rPr>
      </w:pPr>
    </w:p>
    <w:p w:rsidR="00F346C8" w:rsidP="009268C5" w14:paraId="349C6C4B" w14:textId="6FF34885">
      <w:pPr>
        <w:widowControl w:val="0"/>
        <w:jc w:val="both"/>
        <w:rPr>
          <w:rFonts w:eastAsia="Calibri"/>
          <w:i/>
          <w:iCs/>
          <w:noProof/>
          <w:sz w:val="26"/>
          <w:szCs w:val="26"/>
          <w:lang w:eastAsia="en-US"/>
        </w:rPr>
      </w:pPr>
    </w:p>
    <w:p w:rsidR="00F346C8" w:rsidP="009268C5" w14:paraId="6331F6E6" w14:textId="77777777">
      <w:pPr>
        <w:widowControl w:val="0"/>
        <w:jc w:val="both"/>
        <w:rPr>
          <w:rFonts w:eastAsia="Calibri"/>
          <w:i/>
          <w:iCs/>
          <w:noProof/>
          <w:sz w:val="26"/>
          <w:szCs w:val="26"/>
          <w:lang w:eastAsia="en-US"/>
        </w:rPr>
      </w:pPr>
    </w:p>
    <w:p w:rsidR="00F346C8" w:rsidP="009268C5" w14:paraId="1B61FD36" w14:textId="193BCE65">
      <w:pPr>
        <w:widowControl w:val="0"/>
        <w:jc w:val="both"/>
        <w:rPr>
          <w:rFonts w:eastAsia="Calibri"/>
          <w:i/>
          <w:iCs/>
          <w:noProof/>
          <w:sz w:val="26"/>
          <w:szCs w:val="26"/>
          <w:lang w:eastAsia="en-US"/>
        </w:rPr>
      </w:pPr>
    </w:p>
    <w:p w:rsidR="00F346C8" w:rsidRPr="00951939" w:rsidP="00F346C8" w14:paraId="6314C724" w14:textId="77777777">
      <w:pPr>
        <w:jc w:val="both"/>
        <w:rPr>
          <w:sz w:val="22"/>
          <w:szCs w:val="22"/>
        </w:rPr>
      </w:pPr>
      <w:r w:rsidRPr="00951939">
        <w:rPr>
          <w:sz w:val="22"/>
          <w:szCs w:val="22"/>
        </w:rPr>
        <w:t>Ķērpe</w:t>
      </w:r>
      <w:r w:rsidRPr="00951939">
        <w:rPr>
          <w:sz w:val="22"/>
          <w:szCs w:val="22"/>
        </w:rPr>
        <w:tab/>
        <w:t>67012656</w:t>
      </w:r>
    </w:p>
    <w:p w:rsidR="00F346C8" w:rsidRPr="00951939" w:rsidP="00F346C8" w14:paraId="2F2896F5" w14:textId="77777777">
      <w:pPr>
        <w:jc w:val="both"/>
        <w:rPr>
          <w:sz w:val="22"/>
          <w:szCs w:val="22"/>
        </w:rPr>
      </w:pPr>
      <w:r w:rsidRPr="00951939">
        <w:rPr>
          <w:sz w:val="22"/>
          <w:szCs w:val="22"/>
        </w:rPr>
        <w:tab/>
      </w:r>
    </w:p>
    <w:p w:rsidR="00F346C8" w:rsidRPr="00D11E90" w:rsidP="00F346C8" w14:paraId="2669C100" w14:textId="2C1CD6C3">
      <w:pPr>
        <w:widowControl w:val="0"/>
        <w:jc w:val="both"/>
        <w:rPr>
          <w:rFonts w:eastAsia="Calibri"/>
          <w:i/>
          <w:iCs/>
          <w:noProof/>
          <w:sz w:val="26"/>
          <w:szCs w:val="26"/>
          <w:lang w:eastAsia="en-US"/>
        </w:rPr>
      </w:pPr>
      <w:r w:rsidRPr="00951939">
        <w:rPr>
          <w:sz w:val="22"/>
          <w:szCs w:val="22"/>
        </w:rPr>
        <w:tab/>
      </w:r>
    </w:p>
    <w:sectPr w:rsidSect="00BF7816">
      <w:footerReference w:type="default" r:id="rId5"/>
      <w:footerReference w:type="first" r:id="rId6"/>
      <w:pgSz w:w="11906" w:h="16838" w:code="9"/>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elektronisko parakstu (bez droša e-paraksta)</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1519CD"/>
    <w:multiLevelType w:val="hybridMultilevel"/>
    <w:tmpl w:val="E5744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63C4230"/>
    <w:multiLevelType w:val="hybridMultilevel"/>
    <w:tmpl w:val="CA445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5642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7855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CBE"/>
    <w:rsid w:val="000252E6"/>
    <w:rsid w:val="00027CBE"/>
    <w:rsid w:val="000D3A81"/>
    <w:rsid w:val="001041AD"/>
    <w:rsid w:val="00140B71"/>
    <w:rsid w:val="00170ACE"/>
    <w:rsid w:val="001756A5"/>
    <w:rsid w:val="002428E4"/>
    <w:rsid w:val="00314744"/>
    <w:rsid w:val="00315621"/>
    <w:rsid w:val="00317C59"/>
    <w:rsid w:val="003B5C63"/>
    <w:rsid w:val="003F0B58"/>
    <w:rsid w:val="00421B17"/>
    <w:rsid w:val="004553A1"/>
    <w:rsid w:val="004C1FAC"/>
    <w:rsid w:val="004E5E5C"/>
    <w:rsid w:val="005020F2"/>
    <w:rsid w:val="00523EFE"/>
    <w:rsid w:val="00565759"/>
    <w:rsid w:val="005918C0"/>
    <w:rsid w:val="00601944"/>
    <w:rsid w:val="00602A82"/>
    <w:rsid w:val="00641BA1"/>
    <w:rsid w:val="00667EEC"/>
    <w:rsid w:val="006C0072"/>
    <w:rsid w:val="006F2C64"/>
    <w:rsid w:val="0075347B"/>
    <w:rsid w:val="00797CAB"/>
    <w:rsid w:val="007A5DBF"/>
    <w:rsid w:val="007F652F"/>
    <w:rsid w:val="00807409"/>
    <w:rsid w:val="009268C5"/>
    <w:rsid w:val="009463E2"/>
    <w:rsid w:val="00951939"/>
    <w:rsid w:val="00A30A27"/>
    <w:rsid w:val="00AD6A77"/>
    <w:rsid w:val="00AE654F"/>
    <w:rsid w:val="00B32576"/>
    <w:rsid w:val="00B75D89"/>
    <w:rsid w:val="00B811D2"/>
    <w:rsid w:val="00BB1039"/>
    <w:rsid w:val="00BC3999"/>
    <w:rsid w:val="00BD7F44"/>
    <w:rsid w:val="00BF7816"/>
    <w:rsid w:val="00C15BE7"/>
    <w:rsid w:val="00C5411B"/>
    <w:rsid w:val="00C90B21"/>
    <w:rsid w:val="00CA0564"/>
    <w:rsid w:val="00CA2AD9"/>
    <w:rsid w:val="00CA6DDE"/>
    <w:rsid w:val="00CD2A1E"/>
    <w:rsid w:val="00D11E90"/>
    <w:rsid w:val="00D76534"/>
    <w:rsid w:val="00E538BB"/>
    <w:rsid w:val="00E72CDE"/>
    <w:rsid w:val="00E87CE1"/>
    <w:rsid w:val="00EA7C6A"/>
    <w:rsid w:val="00EE517D"/>
    <w:rsid w:val="00F173EB"/>
    <w:rsid w:val="00F346C8"/>
    <w:rsid w:val="00F9315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68EE0A2"/>
  <w15:docId w15:val="{97598B4F-794C-4D8C-8999-CEF99B36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CB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027CBE"/>
    <w:pPr>
      <w:jc w:val="center"/>
    </w:pPr>
    <w:rPr>
      <w:sz w:val="40"/>
      <w:szCs w:val="40"/>
      <w:lang w:eastAsia="en-US"/>
    </w:rPr>
  </w:style>
  <w:style w:type="paragraph" w:customStyle="1" w:styleId="Protokols">
    <w:name w:val="Protokols"/>
    <w:basedOn w:val="Normal"/>
    <w:rsid w:val="00027CBE"/>
    <w:pPr>
      <w:jc w:val="both"/>
    </w:pPr>
    <w:rPr>
      <w:sz w:val="26"/>
      <w:szCs w:val="26"/>
      <w:lang w:eastAsia="en-US"/>
    </w:rPr>
  </w:style>
  <w:style w:type="paragraph" w:styleId="BalloonText">
    <w:name w:val="Balloon Text"/>
    <w:basedOn w:val="Normal"/>
    <w:link w:val="BalontekstsRakstz"/>
    <w:uiPriority w:val="99"/>
    <w:semiHidden/>
    <w:unhideWhenUsed/>
    <w:rsid w:val="00E87CE1"/>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E87CE1"/>
    <w:rPr>
      <w:rFonts w:ascii="Segoe UI" w:eastAsia="Times New Roman" w:hAnsi="Segoe UI" w:cs="Segoe UI"/>
      <w:sz w:val="18"/>
      <w:szCs w:val="18"/>
      <w:lang w:eastAsia="lv-LV"/>
    </w:rPr>
  </w:style>
  <w:style w:type="paragraph" w:styleId="ListParagraph">
    <w:name w:val="List Paragraph"/>
    <w:basedOn w:val="Normal"/>
    <w:uiPriority w:val="34"/>
    <w:qFormat/>
    <w:rsid w:val="00601944"/>
    <w:pPr>
      <w:ind w:left="720"/>
      <w:contextualSpacing/>
    </w:pPr>
    <w:rPr>
      <w:rFonts w:eastAsia="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AA7BA-237F-41EE-B510-9A010A2A1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3886</Words>
  <Characters>2216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Erdmane</dc:creator>
  <cp:lastModifiedBy>Helēna Ķērpe</cp:lastModifiedBy>
  <cp:revision>5</cp:revision>
  <cp:lastPrinted>2020-07-17T12:37:00Z</cp:lastPrinted>
  <dcterms:created xsi:type="dcterms:W3CDTF">2022-06-10T11:13:00Z</dcterms:created>
  <dcterms:modified xsi:type="dcterms:W3CDTF">2024-10-22T10:59:00Z</dcterms:modified>
</cp:coreProperties>
</file>