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14:paraId="5FC6B476" w14:textId="77777777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>
            <v:imagedata r:id="rId5" r:href="rId6" o:title=""/>
          </v:shape>
        </w:pict>
      </w:r>
    </w:p>
    <w:p w:rsidR="003D52CB" w:rsidRPr="008401BA" w:rsidP="003D52CB" w14:paraId="6505EDAE" w14:textId="77777777">
      <w:pPr>
        <w:jc w:val="center"/>
        <w:rPr>
          <w:sz w:val="36"/>
          <w:szCs w:val="36"/>
          <w:lang w:val="lv-LV"/>
        </w:rPr>
      </w:pPr>
      <w:r w:rsidRPr="008401BA">
        <w:rPr>
          <w:sz w:val="36"/>
          <w:szCs w:val="36"/>
          <w:lang w:val="lv-LV"/>
        </w:rPr>
        <w:t xml:space="preserve">RĪGAS VALSTSPILSĒTAS PAŠVALDĪBAS </w:t>
      </w:r>
    </w:p>
    <w:p w:rsidR="003D52CB" w:rsidRPr="003D52CB" w:rsidP="003D52CB" w14:paraId="2F7C0BBF" w14:textId="77777777">
      <w:pPr>
        <w:jc w:val="center"/>
        <w:rPr>
          <w:sz w:val="36"/>
          <w:szCs w:val="36"/>
          <w:lang w:val="lv-LV"/>
        </w:rPr>
      </w:pPr>
      <w:r w:rsidRPr="008401BA">
        <w:rPr>
          <w:sz w:val="36"/>
          <w:szCs w:val="36"/>
          <w:lang w:val="lv-LV"/>
        </w:rPr>
        <w:t>PILSĒTAS ATTĪSTĪBAS DEPARTAMENTS</w:t>
      </w:r>
    </w:p>
    <w:p w:rsidR="00D26FB3" w:rsidRPr="000075DA" w14:paraId="44DB6891" w14:textId="77777777">
      <w:pPr>
        <w:jc w:val="center"/>
        <w:rPr>
          <w:sz w:val="6"/>
          <w:szCs w:val="6"/>
          <w:lang w:val="lv-LV"/>
        </w:rPr>
      </w:pPr>
    </w:p>
    <w:p w:rsidR="00D26FB3" w:rsidP="00702070" w14:paraId="304755C6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Dzirnavu iela 140, Rīga, LV-1050, tālrunis 67012222, e</w:t>
      </w:r>
      <w:r w:rsidRPr="000075DA">
        <w:rPr>
          <w:sz w:val="22"/>
          <w:szCs w:val="22"/>
          <w:lang w:val="lv-LV"/>
        </w:rPr>
        <w:noBreakHyphen/>
        <w:t>pasts: pad@riga.lv</w:t>
      </w:r>
    </w:p>
    <w:p w:rsidR="002E316A" w:rsidRPr="000075DA" w:rsidP="00702070" w14:paraId="3BB25144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</w:p>
    <w:p w:rsidR="00807F38" w:rsidP="00807F38" w14:paraId="42E46A5B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Pārskats</w:t>
      </w:r>
    </w:p>
    <w:p w:rsidR="00807F38" w:rsidP="00807F38" w14:paraId="4FD0F7EE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p w:rsidR="00807F38" w:rsidP="00807F38" w14:paraId="1EC43B42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Rīgā</w:t>
      </w:r>
    </w:p>
    <w:p w:rsidR="00807F38" w:rsidP="00807F38" w14:paraId="692205A0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50" w:type="dxa"/>
        <w:tblLayout w:type="fixed"/>
        <w:tblLook w:val="04A0"/>
      </w:tblPr>
      <w:tblGrid>
        <w:gridCol w:w="2661"/>
        <w:gridCol w:w="3119"/>
        <w:gridCol w:w="3970"/>
      </w:tblGrid>
      <w:tr w14:paraId="454AFE58" w14:textId="77777777" w:rsidTr="00807F38">
        <w:tblPrEx>
          <w:tblW w:w="9750" w:type="dxa"/>
          <w:tblLayout w:type="fixed"/>
          <w:tblLook w:val="04A0"/>
        </w:tblPrEx>
        <w:tc>
          <w:tcPr>
            <w:tcW w:w="2660" w:type="dxa"/>
            <w:hideMark/>
          </w:tcPr>
          <w:p w:rsidR="00807F38" w14:paraId="593EC33C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12.03.2026.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118" w:type="dxa"/>
          </w:tcPr>
          <w:p w:rsidR="00807F38" w14:paraId="57D4B527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969" w:type="dxa"/>
            <w:hideMark/>
          </w:tcPr>
          <w:p w:rsidR="00807F38" w14:paraId="163689A3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Nr. </w:t>
            </w: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DA-26-6-pa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07F38" w:rsidP="00807F38" w14:paraId="690C3E6C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15C3A7E1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5" w:type="dxa"/>
        <w:tblLayout w:type="fixed"/>
        <w:tblLook w:val="04A0"/>
      </w:tblPr>
      <w:tblGrid>
        <w:gridCol w:w="4785"/>
      </w:tblGrid>
      <w:tr w14:paraId="0038D39B" w14:textId="77777777" w:rsidTr="00807F38">
        <w:tblPrEx>
          <w:tblW w:w="4785" w:type="dxa"/>
          <w:tblLayout w:type="fixed"/>
          <w:tblLook w:val="04A0"/>
        </w:tblPrEx>
        <w:tc>
          <w:tcPr>
            <w:tcW w:w="4786" w:type="dxa"/>
            <w:hideMark/>
          </w:tcPr>
          <w:p w:rsidR="00807F38" w14:paraId="0E0C12C5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Pārskats par kolektīvā iesnieguma virzību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07F38" w:rsidP="008F3DBC" w14:paraId="59633959" w14:textId="77777777">
      <w:pPr>
        <w:jc w:val="both"/>
        <w:rPr>
          <w:sz w:val="26"/>
          <w:szCs w:val="26"/>
          <w:lang w:val="lv-LV"/>
        </w:rPr>
      </w:pPr>
    </w:p>
    <w:p w:rsidR="0022516D" w:rsidP="0022516D" w14:paraId="728A8437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Rīgas valstspilsētas pašvaldībā (turpmāk – Pašvaldība) 04.11.2025.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saņemts un </w:t>
      </w:r>
      <w:r w:rsidRPr="00BD1D09">
        <w:rPr>
          <w:sz w:val="26"/>
          <w:szCs w:val="26"/>
          <w:lang w:val="lv-LV"/>
        </w:rPr>
        <w:t>nodots izvērtēšanai Pašvaldības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Ārtelpas un mobilitātes departamentam, </w:t>
      </w:r>
      <w:r>
        <w:rPr>
          <w:sz w:val="26"/>
          <w:szCs w:val="26"/>
          <w:lang w:val="lv-LV"/>
        </w:rPr>
        <w:t xml:space="preserve">Pašvaldības </w:t>
      </w:r>
      <w:r w:rsidRPr="00BD1D09">
        <w:rPr>
          <w:sz w:val="26"/>
          <w:szCs w:val="26"/>
          <w:lang w:val="lv-LV"/>
        </w:rPr>
        <w:t>Finanšu departamentam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</w:t>
      </w:r>
      <w:r>
        <w:rPr>
          <w:sz w:val="26"/>
          <w:szCs w:val="26"/>
          <w:lang w:val="lv-LV"/>
        </w:rPr>
        <w:t xml:space="preserve"> Pašvaldības </w:t>
      </w:r>
      <w:r w:rsidRPr="00BD1D09">
        <w:rPr>
          <w:sz w:val="26"/>
          <w:szCs w:val="26"/>
          <w:lang w:val="lv-LV"/>
        </w:rPr>
        <w:t>Pilsētas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attīstības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departamentam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(turpmāk – Departaments) kolektīvais iesniegums</w:t>
      </w:r>
      <w:r>
        <w:rPr>
          <w:sz w:val="26"/>
          <w:szCs w:val="26"/>
          <w:lang w:val="lv-LV"/>
        </w:rPr>
        <w:t xml:space="preserve"> “</w:t>
      </w:r>
      <w:r w:rsidRPr="00BD1D09">
        <w:rPr>
          <w:sz w:val="26"/>
          <w:szCs w:val="26"/>
          <w:lang w:val="lv-LV"/>
        </w:rPr>
        <w:t>Par regulāru prāmju satiksmi maršrutā “Vecmīlgrāvis–Bolderāja””</w:t>
      </w:r>
      <w:r>
        <w:rPr>
          <w:sz w:val="26"/>
          <w:szCs w:val="26"/>
          <w:lang w:val="lv-LV"/>
        </w:rPr>
        <w:t xml:space="preserve"> (turpmāk</w:t>
      </w:r>
      <w:r w:rsidRPr="00BD1D09">
        <w:rPr>
          <w:sz w:val="26"/>
          <w:szCs w:val="26"/>
          <w:lang w:val="lv-LV"/>
        </w:rPr>
        <w:t xml:space="preserve"> – </w:t>
      </w:r>
      <w:r>
        <w:rPr>
          <w:sz w:val="26"/>
          <w:szCs w:val="26"/>
          <w:lang w:val="lv-LV"/>
        </w:rPr>
        <w:t>Kolektīvais iesniegums)</w:t>
      </w:r>
      <w:r w:rsidRPr="00BD1D09">
        <w:rPr>
          <w:sz w:val="26"/>
          <w:szCs w:val="26"/>
          <w:lang w:val="lv-LV"/>
        </w:rPr>
        <w:t>.</w:t>
      </w:r>
    </w:p>
    <w:p w:rsidR="0022516D" w:rsidP="0022516D" w14:paraId="46FF1F60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Kolektīvajā iesniegumā izteikts priekšlikums ieviest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pasažieru un transporta regulāru prāmju satiksmi maršrutā “Vecmīlgrāvis</w:t>
      </w:r>
      <w:bookmarkStart w:id="0" w:name="_Hlk223627994"/>
      <w:r w:rsidRPr="00BD1D09">
        <w:rPr>
          <w:sz w:val="26"/>
          <w:szCs w:val="26"/>
          <w:lang w:val="lv-LV"/>
        </w:rPr>
        <w:t>–</w:t>
      </w:r>
      <w:bookmarkEnd w:id="0"/>
      <w:r w:rsidRPr="00BD1D09">
        <w:rPr>
          <w:sz w:val="26"/>
          <w:szCs w:val="26"/>
          <w:lang w:val="lv-LV"/>
        </w:rPr>
        <w:t>Bolderāja”,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piedāvājot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Vecmīlgrāvja,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Bolderājas un tuvāko apkaimju iedzīvotājiem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transportam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ērtāku, ātrāku,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ekonomiskāku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videi draudzīgāku nokļūšanu Daugavas pretējā krastā,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vienlaikus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atslogojot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satiksmi uz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Vanšu tilta.</w:t>
      </w:r>
    </w:p>
    <w:p w:rsidR="0022516D" w:rsidRPr="00BD1D09" w:rsidP="0022516D" w14:paraId="44638735" w14:textId="77CF8FC4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17.12.2025. Rīgas dome pieņēma lēmumu Nr. RD-25-420-lē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“Par 04.11.2025. kolektīvā iesnieguma par regulāru prāmju satiksmi maršrutā Vecmīlgrāvis–Bolderāja virzību”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(turpmāk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–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Lēmums)</w:t>
      </w:r>
      <w:r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nodot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kolektīvo iesniegumu izvērtēšanai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Departamentam</w:t>
      </w:r>
      <w:r w:rsidRPr="00CE1146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Pašvaldības </w:t>
      </w:r>
      <w:r w:rsidRPr="00BD1D09">
        <w:rPr>
          <w:sz w:val="26"/>
          <w:szCs w:val="26"/>
          <w:lang w:val="lv-LV"/>
        </w:rPr>
        <w:t>Ārtelpas</w:t>
      </w:r>
      <w:r w:rsidRPr="00CE1146"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mobilitātes departamentam un</w:t>
      </w:r>
      <w:r>
        <w:rPr>
          <w:sz w:val="26"/>
          <w:szCs w:val="26"/>
          <w:lang w:val="lv-LV"/>
        </w:rPr>
        <w:t xml:space="preserve"> Pašvaldības </w:t>
      </w:r>
      <w:r w:rsidRPr="00BD1D09">
        <w:rPr>
          <w:sz w:val="26"/>
          <w:szCs w:val="26"/>
          <w:lang w:val="lv-LV"/>
        </w:rPr>
        <w:t>Finanšu departamentam.</w:t>
      </w:r>
    </w:p>
    <w:p w:rsidR="0022516D" w:rsidP="0022516D" w14:paraId="3946D438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Lai izpildītu Lēmumu,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Departaments izdeva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26.01.2026.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rīkojumu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Nr. DA-26-5-rs “Par darba grupas izveidošanu par 04.11.2025. kolektīvā iesnieguma par regulāru prāmju satiksmi maršrutā Vecmīlgrāvis–Bolderāja izvērtēšanu”,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izveidojot starpdepartamentu darba grupu ar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Departamenta,</w:t>
      </w:r>
      <w:r>
        <w:rPr>
          <w:sz w:val="26"/>
          <w:szCs w:val="26"/>
          <w:lang w:val="lv-LV"/>
        </w:rPr>
        <w:t xml:space="preserve"> Pašvaldības </w:t>
      </w:r>
      <w:r w:rsidRPr="00BD1D09">
        <w:rPr>
          <w:sz w:val="26"/>
          <w:szCs w:val="26"/>
          <w:lang w:val="lv-LV"/>
        </w:rPr>
        <w:t xml:space="preserve">Ārtelpas un mobilitātes </w:t>
      </w:r>
      <w:r w:rsidRPr="00CE1146">
        <w:rPr>
          <w:sz w:val="26"/>
          <w:szCs w:val="26"/>
          <w:lang w:val="lv-LV"/>
        </w:rPr>
        <w:t>departamenta</w:t>
      </w:r>
      <w:r w:rsidRPr="00BD1D09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Pašvaldības </w:t>
      </w:r>
      <w:r w:rsidRPr="00BD1D09">
        <w:rPr>
          <w:sz w:val="26"/>
          <w:szCs w:val="26"/>
          <w:lang w:val="lv-LV"/>
        </w:rPr>
        <w:t>Finanšu departamenta un Rīgas brīvostas pārvaldes pārstāvju dalību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(turpmāk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– Darba grupa).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Darba grupas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koordinators</w:t>
      </w:r>
      <w:r>
        <w:rPr>
          <w:sz w:val="26"/>
          <w:szCs w:val="26"/>
          <w:lang w:val="lv-LV"/>
        </w:rPr>
        <w:t xml:space="preserve"> -</w:t>
      </w:r>
      <w:r w:rsidRPr="00BD1D0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D</w:t>
      </w:r>
      <w:r w:rsidRPr="00BD1D09">
        <w:rPr>
          <w:sz w:val="26"/>
          <w:szCs w:val="26"/>
          <w:lang w:val="lv-LV"/>
        </w:rPr>
        <w:t xml:space="preserve">epartamenta Mobilitātes plānošanas Attīstības plānošanas nodaļas </w:t>
      </w:r>
      <w:r>
        <w:rPr>
          <w:sz w:val="26"/>
          <w:szCs w:val="26"/>
          <w:lang w:val="lv-LV"/>
        </w:rPr>
        <w:t>g</w:t>
      </w:r>
      <w:r w:rsidRPr="00BD1D09">
        <w:rPr>
          <w:sz w:val="26"/>
          <w:szCs w:val="26"/>
          <w:lang w:val="lv-LV"/>
        </w:rPr>
        <w:t>alvenai</w:t>
      </w:r>
      <w:r w:rsidRPr="00BD1D09">
        <w:rPr>
          <w:sz w:val="26"/>
          <w:szCs w:val="26"/>
          <w:lang w:val="lv-LV"/>
        </w:rPr>
        <w:t>s projektu vadītājs transporta plānošanas jautājumos Jānis Andiņš.</w:t>
      </w:r>
    </w:p>
    <w:p w:rsidR="0022516D" w:rsidP="0022516D" w14:paraId="6D484B9F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 xml:space="preserve">Vēlamies informēt, ka izpētes darbi vēl turpinās un sniedzam uz šo brīdi aktuālo pārskatu par </w:t>
      </w:r>
      <w:r>
        <w:rPr>
          <w:sz w:val="26"/>
          <w:szCs w:val="26"/>
          <w:lang w:val="lv-LV"/>
        </w:rPr>
        <w:t>K</w:t>
      </w:r>
      <w:r w:rsidRPr="00BD1D09">
        <w:rPr>
          <w:sz w:val="26"/>
          <w:szCs w:val="26"/>
          <w:lang w:val="lv-LV"/>
        </w:rPr>
        <w:t>olektīvā iesnieguma priekšlikumiem.</w:t>
      </w:r>
      <w:r>
        <w:rPr>
          <w:sz w:val="26"/>
          <w:szCs w:val="26"/>
          <w:lang w:val="lv-LV"/>
        </w:rPr>
        <w:t xml:space="preserve"> </w:t>
      </w:r>
    </w:p>
    <w:p w:rsidR="0022516D" w:rsidP="0022516D" w14:paraId="098A0674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Darba grupa šajā periodā tikās 4 reizes,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izvirzot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veicot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sekojošus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darba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uzdevumus:</w:t>
      </w:r>
    </w:p>
    <w:p w:rsidR="0022516D" w:rsidP="0022516D" w14:paraId="0F265501" w14:textId="77777777">
      <w:pPr>
        <w:numPr>
          <w:ilvl w:val="0"/>
          <w:numId w:val="12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Esošo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pētījumu (SIA “Imink”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2004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>2006,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SIA “Reģionālie projekti”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2004) apkopojums 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izvērtējums.</w:t>
      </w:r>
    </w:p>
    <w:p w:rsidR="0022516D" w:rsidP="0022516D" w14:paraId="4C97B811" w14:textId="77777777">
      <w:pPr>
        <w:numPr>
          <w:ilvl w:val="0"/>
          <w:numId w:val="12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 xml:space="preserve">Potenciālo prāmja piestātņu vietu identificēšana, ņemot vērā īpašumtiesības, vides ierobežojumus, ūdens ceļu dziļumus, </w:t>
      </w:r>
      <w:r w:rsidRPr="00BD1D09">
        <w:rPr>
          <w:sz w:val="26"/>
          <w:szCs w:val="26"/>
          <w:lang w:val="lv-LV"/>
        </w:rPr>
        <w:t>ostas darbības intensitāti un infrastruktūru, būvniecības izmaksas un projekta īstenošanai nepieciešamo laiku,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izmantojot jaunāko transporta plūsmu un ostas loģistikas informāciju.</w:t>
      </w:r>
    </w:p>
    <w:p w:rsidR="0022516D" w:rsidP="0022516D" w14:paraId="737D408F" w14:textId="77777777">
      <w:pPr>
        <w:numPr>
          <w:ilvl w:val="0"/>
          <w:numId w:val="12"/>
        </w:numPr>
        <w:jc w:val="both"/>
        <w:rPr>
          <w:sz w:val="26"/>
          <w:szCs w:val="26"/>
          <w:lang w:val="lv-LV"/>
        </w:rPr>
      </w:pPr>
      <w:r w:rsidRPr="003633AD">
        <w:rPr>
          <w:sz w:val="26"/>
          <w:szCs w:val="26"/>
          <w:lang w:val="lv-LV"/>
        </w:rPr>
        <w:t>Prāmju satiksmes modelis un tehniski</w:t>
      </w:r>
      <w:r w:rsidRPr="003633AD">
        <w:rPr>
          <w:sz w:val="26"/>
          <w:szCs w:val="26"/>
          <w:lang w:val="lv-LV"/>
        </w:rPr>
        <w:noBreakHyphen/>
        <w:t>ekonomiskais izvērtējums, kā arī ekspluatācijas priekšnosacījumu sākotnējā analīze, t.sk. nepieciešamā infrastruktūra un paredzamais pieprasījums.</w:t>
      </w:r>
    </w:p>
    <w:p w:rsidR="0022516D" w:rsidRPr="003633AD" w:rsidP="0022516D" w14:paraId="2722ACBB" w14:textId="77777777">
      <w:pPr>
        <w:numPr>
          <w:ilvl w:val="0"/>
          <w:numId w:val="12"/>
        </w:numPr>
        <w:jc w:val="both"/>
        <w:rPr>
          <w:sz w:val="26"/>
          <w:szCs w:val="26"/>
          <w:lang w:val="lv-LV"/>
        </w:rPr>
      </w:pPr>
      <w:r w:rsidRPr="003633AD">
        <w:rPr>
          <w:sz w:val="26"/>
          <w:szCs w:val="26"/>
          <w:lang w:val="lv-LV"/>
        </w:rPr>
        <w:t>Secinājumi un rekomendācijas tālākām aktivitātēm.</w:t>
      </w:r>
    </w:p>
    <w:p w:rsidR="0022516D" w:rsidRPr="009225D2" w:rsidP="0022516D" w14:paraId="7849424B" w14:textId="77777777">
      <w:pPr>
        <w:ind w:left="720"/>
        <w:jc w:val="both"/>
        <w:rPr>
          <w:sz w:val="26"/>
          <w:szCs w:val="26"/>
          <w:lang w:val="lv-LV"/>
        </w:rPr>
      </w:pPr>
    </w:p>
    <w:p w:rsidR="0022516D" w:rsidRPr="00BD1D09" w:rsidP="0022516D" w14:paraId="2D813893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Vēlamies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uzsvērt būtisku faktoru, kas ietekmēja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pārskata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gaitu un rezultātus. Ņemot vērā, ka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kolektīvaj</w:t>
      </w:r>
      <w:r>
        <w:rPr>
          <w:sz w:val="26"/>
          <w:szCs w:val="26"/>
          <w:lang w:val="lv-LV"/>
        </w:rPr>
        <w:t xml:space="preserve">ā </w:t>
      </w:r>
      <w:r w:rsidRPr="00BD1D09">
        <w:rPr>
          <w:sz w:val="26"/>
          <w:szCs w:val="26"/>
          <w:lang w:val="lv-LV"/>
        </w:rPr>
        <w:t>iesniegumā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tika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izteikts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priekšlikums pārvadāt transportu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iedzīvotājus, tad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pārskatā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tika apskatīti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lielmēroga ROPAX tipa kuģi, kas paredzēti vieglo automašīnu 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 kravas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transportlīdzekļu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pārvadāšanai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ar iespēju pārvadāt arī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pasažierus.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Šo kuģu garums sasniedz 80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metrus, platums līdz 18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metriem, kravnesība apmēram 300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tonnas, braukšanas ātrums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10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>14 mezgli (18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>26 km/h).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Tie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spēj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pārvadāt līdz 65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vieglajām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automašīnām vai līdz 14 kravas automašīnām un,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ja nepieciešams,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uzņemt ap 100 pasažieru</w:t>
      </w:r>
      <w:r w:rsidRPr="00BD1D09">
        <w:rPr>
          <w:sz w:val="26"/>
          <w:szCs w:val="26"/>
          <w:lang w:val="lv-LV"/>
        </w:rPr>
        <w:t>. Līdz ar to,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tika apskatītas piestātņu vietas, kas spētu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apkalpot šādu gabarītu un funkcionalitātes kuģus. Ņemot vērā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šo aspektu,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turpmākā pārskatā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primāri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tiks apskatītas vieglā autotran</w:t>
      </w:r>
      <w:r>
        <w:rPr>
          <w:sz w:val="26"/>
          <w:szCs w:val="26"/>
          <w:lang w:val="lv-LV"/>
        </w:rPr>
        <w:t>s</w:t>
      </w:r>
      <w:r w:rsidRPr="00BD1D09">
        <w:rPr>
          <w:sz w:val="26"/>
          <w:szCs w:val="26"/>
          <w:lang w:val="lv-LV"/>
        </w:rPr>
        <w:t xml:space="preserve">porta un kravu </w:t>
      </w:r>
      <w:r>
        <w:rPr>
          <w:sz w:val="26"/>
          <w:szCs w:val="26"/>
          <w:lang w:val="lv-LV"/>
        </w:rPr>
        <w:t>t</w:t>
      </w:r>
      <w:r w:rsidRPr="00BD1D09">
        <w:rPr>
          <w:sz w:val="26"/>
          <w:szCs w:val="26"/>
          <w:lang w:val="lv-LV"/>
        </w:rPr>
        <w:t>ransporta pārvadājumu iespējas.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Savukārt </w:t>
      </w:r>
      <w:r w:rsidRPr="00BD1D09">
        <w:rPr>
          <w:sz w:val="26"/>
          <w:szCs w:val="26"/>
          <w:lang w:val="lv-LV"/>
        </w:rPr>
        <w:t>pasažieru pārvadāšanas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izpētei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plašākā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mērogā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visā Rīgā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1.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kārtas projekta īstenošanai Departaments ir izveidojis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atsevišķu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darba grupu, kas fokusējas uz pasažieru kuģu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satiksmes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izpēti.</w:t>
      </w:r>
    </w:p>
    <w:p w:rsidR="0022516D" w:rsidRPr="00BD1D09" w:rsidP="0022516D" w14:paraId="516426A9" w14:textId="77777777">
      <w:pPr>
        <w:ind w:firstLine="720"/>
        <w:jc w:val="both"/>
        <w:rPr>
          <w:sz w:val="26"/>
          <w:szCs w:val="26"/>
          <w:lang w:val="lv-LV"/>
        </w:rPr>
      </w:pPr>
    </w:p>
    <w:p w:rsidR="0022516D" w:rsidRPr="00BD1D09" w:rsidP="0022516D" w14:paraId="0A2BF146" w14:textId="77777777">
      <w:pPr>
        <w:numPr>
          <w:ilvl w:val="0"/>
          <w:numId w:val="2"/>
        </w:numPr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Esošo pētījumu izvērtēšana</w:t>
      </w:r>
    </w:p>
    <w:p w:rsidR="0022516D" w:rsidP="0022516D" w14:paraId="52D3AFAB" w14:textId="77777777">
      <w:pPr>
        <w:ind w:firstLine="720"/>
        <w:jc w:val="both"/>
        <w:rPr>
          <w:b/>
          <w:bCs/>
          <w:sz w:val="26"/>
          <w:szCs w:val="26"/>
          <w:lang w:val="lv-LV"/>
        </w:rPr>
      </w:pPr>
    </w:p>
    <w:p w:rsidR="0022516D" w:rsidP="0022516D" w14:paraId="1E071787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Prāmju satiksmes ideja maršrutā Vecmīlgrāvis</w:t>
      </w:r>
      <w:r>
        <w:rPr>
          <w:b/>
          <w:bCs/>
          <w:sz w:val="26"/>
          <w:szCs w:val="26"/>
          <w:lang w:val="lv-LV"/>
        </w:rPr>
        <w:t>-</w:t>
      </w:r>
      <w:r w:rsidRPr="00BD1D09">
        <w:rPr>
          <w:b/>
          <w:bCs/>
          <w:sz w:val="26"/>
          <w:szCs w:val="26"/>
          <w:lang w:val="lv-LV"/>
        </w:rPr>
        <w:t>Bolderāja ir vērtēta jau iepriekš, taču,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neskatoties uz to, ka projekts pētījumā tika atzīts par ekonomiski izdevīgu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(atmaksātos 5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gadu laikā),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tas netika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īstenots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būtisku infrastruktūras izmaksu un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iedzīvotāju iebildumu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dēļ.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SIA</w:t>
      </w:r>
      <w:r>
        <w:rPr>
          <w:sz w:val="26"/>
          <w:szCs w:val="26"/>
          <w:lang w:val="lv-LV"/>
        </w:rPr>
        <w:t xml:space="preserve"> “</w:t>
      </w:r>
      <w:r w:rsidRPr="00BD1D09">
        <w:rPr>
          <w:sz w:val="26"/>
          <w:szCs w:val="26"/>
          <w:lang w:val="lv-LV"/>
        </w:rPr>
        <w:t>Imink</w:t>
      </w:r>
      <w:r>
        <w:rPr>
          <w:sz w:val="26"/>
          <w:szCs w:val="26"/>
          <w:lang w:val="lv-LV"/>
        </w:rPr>
        <w:t xml:space="preserve">” </w:t>
      </w:r>
      <w:r w:rsidRPr="00BD1D09">
        <w:rPr>
          <w:sz w:val="26"/>
          <w:szCs w:val="26"/>
          <w:lang w:val="lv-LV"/>
        </w:rPr>
        <w:t>pētījumā (2004</w:t>
      </w:r>
      <w:r>
        <w:rPr>
          <w:sz w:val="26"/>
          <w:szCs w:val="26"/>
          <w:lang w:val="lv-LV"/>
        </w:rPr>
        <w:t>.g.-</w:t>
      </w:r>
      <w:r w:rsidRPr="00BD1D09">
        <w:rPr>
          <w:sz w:val="26"/>
          <w:szCs w:val="26"/>
          <w:lang w:val="lv-LV"/>
        </w:rPr>
        <w:t>2006</w:t>
      </w:r>
      <w:r>
        <w:rPr>
          <w:sz w:val="26"/>
          <w:szCs w:val="26"/>
          <w:lang w:val="lv-LV"/>
        </w:rPr>
        <w:t>.g.</w:t>
      </w:r>
      <w:r w:rsidRPr="00BD1D0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tika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piedāvāts projektu īstenot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2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kārtās, divi ROPAX tipa prāmji ar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55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>60 auto ietilpību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vai 12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kravas auto ietilpību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regulāru 1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>2 reisu stundā intensitāti.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Piestātņu izbūve un kuģu iegāde prasītu būtiskus ieguldījumus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1,4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 xml:space="preserve">3 </w:t>
      </w:r>
      <w:r w:rsidRPr="00BD1D09">
        <w:rPr>
          <w:sz w:val="26"/>
          <w:szCs w:val="26"/>
          <w:lang w:val="lv-LV"/>
        </w:rPr>
        <w:t>miljoni latu prāmju iegāde,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2,05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miljoni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latu 1.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2.kārtas piestātņu izbūve, 0,25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miljoni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latu piebraucamo ceļu un laukumu izbūve).</w:t>
      </w:r>
    </w:p>
    <w:p w:rsidR="0022516D" w:rsidP="0022516D" w14:paraId="111E58CF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Sagatavojot pārskatu tika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secināts, ka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SIA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“Imink” piedāvātās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vietas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uz pašvaldībai piederošās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zemes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(</w:t>
      </w:r>
      <w:r>
        <w:rPr>
          <w:b/>
          <w:bCs/>
          <w:sz w:val="26"/>
          <w:szCs w:val="26"/>
          <w:lang w:val="lv-LV"/>
        </w:rPr>
        <w:t>k</w:t>
      </w:r>
      <w:r w:rsidRPr="00BD1D09">
        <w:rPr>
          <w:b/>
          <w:bCs/>
          <w:sz w:val="26"/>
          <w:szCs w:val="26"/>
          <w:lang w:val="lv-LV"/>
        </w:rPr>
        <w:t>adastra apzīmējums 01001130315) Meldru ielā pie Skuju ielas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Vecmīlgrāvī nav piemērotas kravu prāmju satiksmei.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Vecmīlgrāvja ielu tīkls sastāv no šaurām, dzīvojamā rajonā izvietotām ielām, kas nav projektētas intensīvai vieglā transporta un kravu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transporta kustībai. Transporta plūsmas piesaiste šādām ielām radītu būtisku negatīvu ietekmi uz dzīves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vides kvalitāti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(trokšņi, vibrācijas, drošība).</w:t>
      </w:r>
      <w:r>
        <w:rPr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Papildus apkopoti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un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izvērtēti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arī s</w:t>
      </w:r>
      <w:r w:rsidRPr="00BD1D09">
        <w:rPr>
          <w:b/>
          <w:bCs/>
          <w:sz w:val="26"/>
          <w:szCs w:val="26"/>
          <w:lang w:val="lv-LV"/>
        </w:rPr>
        <w:t xml:space="preserve">abiedriskās apspriedes rezultātu iebildumi, kas 2006. gadā </w:t>
      </w:r>
      <w:r>
        <w:rPr>
          <w:b/>
          <w:bCs/>
          <w:sz w:val="26"/>
          <w:szCs w:val="26"/>
          <w:lang w:val="lv-LV"/>
        </w:rPr>
        <w:t>ietekmēja</w:t>
      </w:r>
      <w:r w:rsidRPr="00BD1D09">
        <w:rPr>
          <w:b/>
          <w:bCs/>
          <w:sz w:val="26"/>
          <w:szCs w:val="26"/>
          <w:lang w:val="lv-LV"/>
        </w:rPr>
        <w:t xml:space="preserve"> projekt</w:t>
      </w:r>
      <w:r>
        <w:rPr>
          <w:b/>
          <w:bCs/>
          <w:sz w:val="26"/>
          <w:szCs w:val="26"/>
          <w:lang w:val="lv-LV"/>
        </w:rPr>
        <w:t>a</w:t>
      </w:r>
      <w:r w:rsidRPr="00BD1D09">
        <w:rPr>
          <w:b/>
          <w:bCs/>
          <w:sz w:val="26"/>
          <w:szCs w:val="26"/>
          <w:lang w:val="lv-LV"/>
        </w:rPr>
        <w:t xml:space="preserve"> tālāk</w:t>
      </w:r>
      <w:r>
        <w:rPr>
          <w:b/>
          <w:bCs/>
          <w:sz w:val="26"/>
          <w:szCs w:val="26"/>
          <w:lang w:val="lv-LV"/>
        </w:rPr>
        <w:t>u virzību</w:t>
      </w:r>
      <w:r w:rsidRPr="00BD1D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SIA “Reģionālie projekti” 2006.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gadā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veica sabiedrisko apspriešanu par prāmja savienojumu un vietējie iedzīvotāji</w:t>
      </w:r>
      <w:r>
        <w:rPr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izteica iebildumus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pret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piestātnes izbūvi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Meldru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ielā. Šobrīd plānotajā piestātnes vietā ir izbūvēts atpūtas un bērnu parks, līdz ar to šajā vietā lielo prāmju piestātnes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izbūve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nav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atbalstāma.</w:t>
      </w:r>
    </w:p>
    <w:p w:rsidR="0022516D" w:rsidRPr="00BD1D09" w:rsidP="0022516D" w14:paraId="5441AA9B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Izvērtējot SIA “Imink”</w:t>
      </w:r>
      <w:r w:rsidRPr="00CE1146"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2</w:t>
      </w:r>
      <w:r w:rsidRPr="00CE1146"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(divas)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piedāvātās vietas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Daugavas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kreisajā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krastā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uz</w:t>
      </w:r>
      <w:r w:rsidRPr="00CE1146"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pašvaldībai piederošās zemes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(</w:t>
      </w:r>
      <w:r>
        <w:rPr>
          <w:b/>
          <w:bCs/>
          <w:sz w:val="26"/>
          <w:szCs w:val="26"/>
          <w:lang w:val="lv-LV"/>
        </w:rPr>
        <w:t>k</w:t>
      </w:r>
      <w:r w:rsidRPr="00BD1D09">
        <w:rPr>
          <w:b/>
          <w:bCs/>
          <w:sz w:val="26"/>
          <w:szCs w:val="26"/>
          <w:lang w:val="lv-LV"/>
        </w:rPr>
        <w:t>adastra apzīmējums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01000972139)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 xml:space="preserve">Voleros </w:t>
      </w:r>
      <w:r w:rsidRPr="00BD1D09">
        <w:rPr>
          <w:b/>
          <w:bCs/>
          <w:sz w:val="26"/>
          <w:szCs w:val="26"/>
          <w:lang w:val="lv-LV"/>
        </w:rPr>
        <w:t>(Bolderājā)</w:t>
      </w:r>
      <w:r>
        <w:rPr>
          <w:b/>
          <w:bCs/>
          <w:sz w:val="26"/>
          <w:szCs w:val="26"/>
          <w:lang w:val="lv-LV"/>
        </w:rPr>
        <w:t>,</w:t>
      </w:r>
      <w:r w:rsidRPr="00BD1D09">
        <w:rPr>
          <w:b/>
          <w:bCs/>
          <w:sz w:val="26"/>
          <w:szCs w:val="26"/>
          <w:lang w:val="lv-LV"/>
        </w:rPr>
        <w:t xml:space="preserve"> Rīgas brīvostas teritorijā, nonākts pie secinājuma, ka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lokācija nav piemērota.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Galvenie ierobežojošie faktori ir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vietas atrašanās per</w:t>
      </w:r>
      <w:r>
        <w:rPr>
          <w:sz w:val="26"/>
          <w:szCs w:val="26"/>
          <w:lang w:val="lv-LV"/>
        </w:rPr>
        <w:t>s</w:t>
      </w:r>
      <w:r w:rsidRPr="00BD1D09">
        <w:rPr>
          <w:sz w:val="26"/>
          <w:szCs w:val="26"/>
          <w:lang w:val="lv-LV"/>
        </w:rPr>
        <w:t>pektīvajās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ielas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sarkanajās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līnijās (bijusī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Piejūras maģistrāle), kā arī nepieciešamība šķērsot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dzelzceļu, kas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prasītu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sarežģītus un finansiāli ietilpīgus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inženiertehniskus risinājumus.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Papildus ierobežojumus rada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intensīvā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ostas darbība</w:t>
      </w:r>
      <w:r w:rsidRPr="00BD1D09">
        <w:rPr>
          <w:sz w:val="26"/>
          <w:szCs w:val="26"/>
          <w:lang w:val="lv-LV"/>
        </w:rPr>
        <w:t>, kas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varētu radīt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konfliktus starp prāmju un kravu kuģu kustību vai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prasītu būtiskas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ostas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zonas izmaiņas. Līdz ar to arī sākotnēji izvēlētā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Voleru lokācija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neatbilst </w:t>
      </w:r>
      <w:r w:rsidRPr="00BD1D09">
        <w:rPr>
          <w:sz w:val="26"/>
          <w:szCs w:val="26"/>
          <w:lang w:val="lv-LV"/>
        </w:rPr>
        <w:t>mūsdienu prasībām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drošai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efektīvai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prāmju satiksmes organizēšanai.</w:t>
      </w:r>
    </w:p>
    <w:p w:rsidR="0022516D" w:rsidRPr="00BD1D09" w:rsidP="0022516D" w14:paraId="763AD8FE" w14:textId="77777777">
      <w:pPr>
        <w:ind w:firstLine="720"/>
        <w:jc w:val="both"/>
        <w:rPr>
          <w:sz w:val="26"/>
          <w:szCs w:val="26"/>
          <w:lang w:val="lv-LV"/>
        </w:rPr>
      </w:pPr>
    </w:p>
    <w:p w:rsidR="0022516D" w:rsidRPr="0085663A" w:rsidP="0022516D" w14:paraId="4AA37C90" w14:textId="77777777">
      <w:pPr>
        <w:numPr>
          <w:ilvl w:val="0"/>
          <w:numId w:val="3"/>
        </w:numPr>
        <w:jc w:val="both"/>
        <w:rPr>
          <w:b/>
          <w:bCs/>
          <w:sz w:val="26"/>
          <w:szCs w:val="26"/>
          <w:lang w:val="lv-LV"/>
        </w:rPr>
      </w:pPr>
      <w:r w:rsidRPr="0085663A">
        <w:rPr>
          <w:b/>
          <w:bCs/>
          <w:sz w:val="26"/>
          <w:szCs w:val="26"/>
          <w:lang w:val="lv-LV"/>
        </w:rPr>
        <w:t>Potenciālo prāmja piestātņu vietu identificēšana</w:t>
      </w:r>
    </w:p>
    <w:p w:rsidR="0022516D" w:rsidP="0022516D" w14:paraId="7CEE768D" w14:textId="77777777">
      <w:pPr>
        <w:ind w:firstLine="720"/>
        <w:jc w:val="both"/>
        <w:rPr>
          <w:sz w:val="26"/>
          <w:szCs w:val="26"/>
          <w:lang w:val="lv-LV"/>
        </w:rPr>
      </w:pPr>
    </w:p>
    <w:p w:rsidR="0022516D" w:rsidRPr="00BD1D09" w:rsidP="0022516D" w14:paraId="6347020C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Ņemot vērā, ka SIA “Imink”</w:t>
      </w:r>
      <w:r>
        <w:rPr>
          <w:sz w:val="26"/>
          <w:szCs w:val="26"/>
          <w:lang w:val="lv-LV"/>
        </w:rPr>
        <w:t xml:space="preserve"> projektā apskatītās</w:t>
      </w:r>
      <w:r w:rsidRPr="00BD1D09">
        <w:rPr>
          <w:sz w:val="26"/>
          <w:szCs w:val="26"/>
          <w:lang w:val="lv-LV"/>
        </w:rPr>
        <w:t xml:space="preserve"> vietas tika atzītas par nepiemērotām, Darba grupa meklēja alternatīvas vietas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pašvaldības īpašumā esošos zemesgabalos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akvatorijai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pieguļošā te</w:t>
      </w:r>
      <w:r>
        <w:rPr>
          <w:sz w:val="26"/>
          <w:szCs w:val="26"/>
          <w:lang w:val="lv-LV"/>
        </w:rPr>
        <w:t>r</w:t>
      </w:r>
      <w:r w:rsidRPr="00BD1D09">
        <w:rPr>
          <w:sz w:val="26"/>
          <w:szCs w:val="26"/>
          <w:lang w:val="lv-LV"/>
        </w:rPr>
        <w:t>itorijā. Ņemot vērā pašvaldībai piederošo zemesgabalu pieejamību, tika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skatīti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arī pieguļošie valsts īpašumi.</w:t>
      </w:r>
    </w:p>
    <w:p w:rsidR="0022516D" w:rsidRPr="00BD1D09" w:rsidP="0022516D" w14:paraId="362665E5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Kopā tika apskatīti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visi pašvaldībai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piederošie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ūdensmalai pieguļošie zemesgabali Daugavas lejtecē un tika identificētas 3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(trīs)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jaunas iespējamās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prāmju piestātņu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vietas,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tomēr Darba grupai veicot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turpmāku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izvērtējumu,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 xml:space="preserve">neviena no tām netika atzīta par piemērotu prāmju piestātņu un ar to darbību saistīto piebraucamo ceļu un laukumu </w:t>
      </w:r>
      <w:r w:rsidRPr="00BD1D09">
        <w:rPr>
          <w:b/>
          <w:bCs/>
          <w:sz w:val="26"/>
          <w:szCs w:val="26"/>
          <w:lang w:val="lv-LV"/>
        </w:rPr>
        <w:t>izbūvei.</w:t>
      </w:r>
    </w:p>
    <w:p w:rsidR="0022516D" w:rsidRPr="00BD1D09" w:rsidP="0022516D" w14:paraId="7A1FCC5E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Vieta Nr.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A variants</w:t>
      </w:r>
      <w:r>
        <w:rPr>
          <w:b/>
          <w:bCs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(</w:t>
      </w:r>
      <w:r w:rsidRPr="00BD1D09">
        <w:rPr>
          <w:sz w:val="26"/>
          <w:szCs w:val="26"/>
          <w:lang w:val="lv-LV"/>
        </w:rPr>
        <w:t>pašvaldībai piederoša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zemesgabala daļa</w:t>
      </w:r>
      <w:r>
        <w:rPr>
          <w:sz w:val="26"/>
          <w:szCs w:val="26"/>
          <w:lang w:val="lv-LV"/>
        </w:rPr>
        <w:t xml:space="preserve"> (k</w:t>
      </w:r>
      <w:r w:rsidRPr="00BD1D09">
        <w:rPr>
          <w:sz w:val="26"/>
          <w:szCs w:val="26"/>
          <w:lang w:val="lv-LV"/>
        </w:rPr>
        <w:t>adastra apzīmējums 01001132253))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nav piemērota, jo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to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ierobežo Mīlgrāvja tilta gabarīti, atrodas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ielas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līkumā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ar nepietiekamu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redzamību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intensīvu auto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satiksmes plūsmu.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nepieciešams veikt padziļināšanas darbus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vieta atrodas dabas pamatnes teri</w:t>
      </w:r>
      <w:r>
        <w:rPr>
          <w:sz w:val="26"/>
          <w:szCs w:val="26"/>
          <w:lang w:val="lv-LV"/>
        </w:rPr>
        <w:t>t</w:t>
      </w:r>
      <w:r w:rsidRPr="00BD1D09">
        <w:rPr>
          <w:sz w:val="26"/>
          <w:szCs w:val="26"/>
          <w:lang w:val="lv-LV"/>
        </w:rPr>
        <w:t>orijā, līdz ar to Darba grupa lēma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vietu nevirzīt tālākai izpētei.</w:t>
      </w:r>
    </w:p>
    <w:p w:rsidR="0022516D" w:rsidRPr="00BD1D09" w:rsidP="0022516D" w14:paraId="30F02B9C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Vieta Nr.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2 -</w:t>
      </w:r>
      <w:r>
        <w:rPr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B variants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(pašvaldībai piederoša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zemesgabala daļa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k</w:t>
      </w:r>
      <w:r w:rsidRPr="00BD1D09">
        <w:rPr>
          <w:sz w:val="26"/>
          <w:szCs w:val="26"/>
          <w:lang w:val="lv-LV"/>
        </w:rPr>
        <w:t>adastra apzīmējums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01001200462)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valstij piederoša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zemesgabala daļa (</w:t>
      </w:r>
      <w:r>
        <w:rPr>
          <w:sz w:val="26"/>
          <w:szCs w:val="26"/>
          <w:lang w:val="lv-LV"/>
        </w:rPr>
        <w:t>k</w:t>
      </w:r>
      <w:r w:rsidRPr="00BD1D09">
        <w:rPr>
          <w:sz w:val="26"/>
          <w:szCs w:val="26"/>
          <w:lang w:val="lv-LV"/>
        </w:rPr>
        <w:t>adastra apzīmējums 01001209010)</w:t>
      </w:r>
      <w:r>
        <w:rPr>
          <w:sz w:val="26"/>
          <w:szCs w:val="26"/>
          <w:lang w:val="lv-LV"/>
        </w:rPr>
        <w:t xml:space="preserve">) </w:t>
      </w:r>
      <w:r w:rsidRPr="00BD1D09">
        <w:rPr>
          <w:sz w:val="26"/>
          <w:szCs w:val="26"/>
          <w:lang w:val="lv-LV"/>
        </w:rPr>
        <w:t>atrodas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perspektīvās Laivinieku ielas sarkanajās līnijās (tilts)</w:t>
      </w:r>
      <w:r>
        <w:rPr>
          <w:sz w:val="26"/>
          <w:szCs w:val="26"/>
          <w:lang w:val="lv-LV"/>
        </w:rPr>
        <w:t xml:space="preserve">. </w:t>
      </w:r>
      <w:r w:rsidRPr="00BD1D09">
        <w:rPr>
          <w:sz w:val="26"/>
          <w:szCs w:val="26"/>
          <w:lang w:val="lv-LV"/>
        </w:rPr>
        <w:t>Pieguļošā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ūdenstilpne ir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sekla un šaura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stāvošu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ūdeni, ziemā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to klāj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ledus.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Papildus, teritorija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daļēji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atrodas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īpaši </w:t>
      </w:r>
      <w:r w:rsidRPr="00BD1D09">
        <w:rPr>
          <w:sz w:val="26"/>
          <w:szCs w:val="26"/>
          <w:lang w:val="lv-LV"/>
        </w:rPr>
        <w:t>aizsargājamā dabas teritorijā.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Izvērtējot apstākļus</w:t>
      </w:r>
      <w:r>
        <w:rPr>
          <w:sz w:val="26"/>
          <w:szCs w:val="26"/>
          <w:lang w:val="lv-LV"/>
        </w:rPr>
        <w:t xml:space="preserve">, </w:t>
      </w:r>
      <w:r w:rsidRPr="00BD1D09">
        <w:rPr>
          <w:sz w:val="26"/>
          <w:szCs w:val="26"/>
          <w:lang w:val="lv-LV"/>
        </w:rPr>
        <w:t>Darba grupa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lēma</w:t>
      </w:r>
      <w:r>
        <w:rPr>
          <w:sz w:val="26"/>
          <w:szCs w:val="26"/>
          <w:lang w:val="lv-LV"/>
        </w:rPr>
        <w:t xml:space="preserve"> </w:t>
      </w:r>
      <w:r w:rsidRPr="00714F01">
        <w:rPr>
          <w:sz w:val="26"/>
          <w:szCs w:val="26"/>
          <w:lang w:val="lv-LV"/>
        </w:rPr>
        <w:t>vietu</w:t>
      </w:r>
      <w:r w:rsidRPr="00BD1D09">
        <w:rPr>
          <w:sz w:val="26"/>
          <w:szCs w:val="26"/>
          <w:lang w:val="lv-LV"/>
        </w:rPr>
        <w:t xml:space="preserve"> nevirzīt tālākai izpētei.</w:t>
      </w:r>
    </w:p>
    <w:p w:rsidR="0022516D" w:rsidRPr="00BD1D09" w:rsidP="0022516D" w14:paraId="08C5C416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Vieta Nr.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3 -</w:t>
      </w:r>
      <w:r>
        <w:rPr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C variants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(pašvaldībai piederoša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zemesgabala daļa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k</w:t>
      </w:r>
      <w:r w:rsidRPr="00BD1D09">
        <w:rPr>
          <w:sz w:val="26"/>
          <w:szCs w:val="26"/>
          <w:lang w:val="lv-LV"/>
        </w:rPr>
        <w:t>adastra apzīmējums 01000970037)</w:t>
      </w:r>
      <w:r>
        <w:rPr>
          <w:sz w:val="26"/>
          <w:szCs w:val="26"/>
          <w:lang w:val="lv-LV"/>
        </w:rPr>
        <w:t>)</w:t>
      </w:r>
      <w:r w:rsidRPr="00BD1D09">
        <w:rPr>
          <w:sz w:val="26"/>
          <w:szCs w:val="26"/>
          <w:lang w:val="lv-LV"/>
        </w:rPr>
        <w:t xml:space="preserve"> nav piemērota, jo tuvumā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atrodas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dzīvojamā apbūve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zemesgabals ir paredzēts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rekreācijas teritorijas izveidošanai (ar Rīgas domes lēmumu rezervēts vides nozares funkcijai), kas būtiski paildzinātu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plānošanas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projektēšanas procesu.</w:t>
      </w:r>
    </w:p>
    <w:p w:rsidR="0022516D" w:rsidRPr="00BD1D09" w:rsidP="0022516D" w14:paraId="26002D40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Orientējošas būvniecības izmaksas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ROPAX tipa kuģu piestātņu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un ar to saistīto laukumu un piebraucamo ceļu izbūvei Daugavas abos krastos, izmantojot tehniskos risinājumus no SIA “Imink” pētījuma un indeksējot cenas uz 2026.</w:t>
      </w:r>
      <w:r>
        <w:rPr>
          <w:b/>
          <w:bCs/>
          <w:sz w:val="26"/>
          <w:szCs w:val="26"/>
          <w:lang w:val="lv-LV"/>
        </w:rPr>
        <w:t> </w:t>
      </w:r>
      <w:r w:rsidRPr="00BD1D09">
        <w:rPr>
          <w:b/>
          <w:bCs/>
          <w:sz w:val="26"/>
          <w:szCs w:val="26"/>
          <w:lang w:val="lv-LV"/>
        </w:rPr>
        <w:t>gadu,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ir apmēram 10-15 miljoni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EUR.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Ņemot vērā plānošanas un projektēša</w:t>
      </w:r>
      <w:r>
        <w:rPr>
          <w:b/>
          <w:bCs/>
          <w:sz w:val="26"/>
          <w:szCs w:val="26"/>
          <w:lang w:val="lv-LV"/>
        </w:rPr>
        <w:t>na</w:t>
      </w:r>
      <w:r w:rsidRPr="00BD1D09">
        <w:rPr>
          <w:b/>
          <w:bCs/>
          <w:sz w:val="26"/>
          <w:szCs w:val="26"/>
          <w:lang w:val="lv-LV"/>
        </w:rPr>
        <w:t xml:space="preserve">s procesu, kas ietver </w:t>
      </w:r>
      <w:r w:rsidRPr="00BD1D09">
        <w:rPr>
          <w:b/>
          <w:bCs/>
          <w:sz w:val="26"/>
          <w:szCs w:val="26"/>
          <w:lang w:val="lv-LV"/>
        </w:rPr>
        <w:t>detālplānojuma un ietekmes uz vidi novērtējuma izstrādi, projekta īstenošanai būtu nepieciešami vismaz 5 gadi. Ņemot vērā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augstās būvniecības izmaksas</w:t>
      </w:r>
      <w:r>
        <w:rPr>
          <w:b/>
          <w:bCs/>
          <w:sz w:val="26"/>
          <w:szCs w:val="26"/>
          <w:lang w:val="lv-LV"/>
        </w:rPr>
        <w:t xml:space="preserve">, </w:t>
      </w:r>
      <w:r w:rsidRPr="00BD1D09">
        <w:rPr>
          <w:b/>
          <w:bCs/>
          <w:sz w:val="26"/>
          <w:szCs w:val="26"/>
          <w:lang w:val="lv-LV"/>
        </w:rPr>
        <w:t>īstenojot jaunu infrastruktūru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un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A B C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variantos izvērtēto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pašvaldībai piederošo vietu nepiemērotību, Darba grupa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nolēma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apskatīt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esošas piestātnes Rīgas brīvostas teritorijā un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aicināt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meklēt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sadarbības iespējas ar Rīgas brīvostas nomniekiem.</w:t>
      </w:r>
    </w:p>
    <w:p w:rsidR="0022516D" w:rsidRPr="00BD1D09" w:rsidP="0022516D" w14:paraId="6FD4BEFF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Sadarbībā ar Rīgas brīvosta pārstāvjiem Darba grupā tika apskatītas vairākas esošās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ROPAX prāmju darbībai piemērotas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piestātnes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Rīgas brīvostas teritorijā,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kurās ostas darbība nav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intensīva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kuras varētu piesaistīt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interesi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no nomnieku puses.</w:t>
      </w:r>
    </w:p>
    <w:p w:rsidR="0022516D" w:rsidRPr="00BD1D09" w:rsidP="0022516D" w14:paraId="4FB0392B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 xml:space="preserve">Kopā Rīgas </w:t>
      </w:r>
      <w:r>
        <w:rPr>
          <w:sz w:val="26"/>
          <w:szCs w:val="26"/>
          <w:lang w:val="lv-LV"/>
        </w:rPr>
        <w:t>b</w:t>
      </w:r>
      <w:r w:rsidRPr="00BD1D09">
        <w:rPr>
          <w:sz w:val="26"/>
          <w:szCs w:val="26"/>
          <w:lang w:val="lv-LV"/>
        </w:rPr>
        <w:t>rīvo</w:t>
      </w:r>
      <w:r>
        <w:rPr>
          <w:sz w:val="26"/>
          <w:szCs w:val="26"/>
          <w:lang w:val="lv-LV"/>
        </w:rPr>
        <w:t>s</w:t>
      </w:r>
      <w:r w:rsidRPr="00BD1D09">
        <w:rPr>
          <w:sz w:val="26"/>
          <w:szCs w:val="26"/>
          <w:lang w:val="lv-LV"/>
        </w:rPr>
        <w:t>tas teritorijā tika apskatītas 4 piestātnes</w:t>
      </w:r>
      <w:r>
        <w:rPr>
          <w:sz w:val="26"/>
          <w:szCs w:val="26"/>
          <w:lang w:val="lv-LV"/>
        </w:rPr>
        <w:t xml:space="preserve"> -</w:t>
      </w:r>
      <w:r w:rsidRPr="00BD1D09">
        <w:rPr>
          <w:sz w:val="26"/>
          <w:szCs w:val="26"/>
          <w:lang w:val="lv-LV"/>
        </w:rPr>
        <w:t xml:space="preserve"> Daugavas labajā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krastā Vecmīlgrāvī (RKR-9) un Sarkandaugavā (EO-11) un Daugavas kreisajā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krastā Daugavgrīvā (DG-54) un Voleros (KR</w:t>
      </w:r>
      <w:r w:rsidRPr="00BD1D09">
        <w:rPr>
          <w:sz w:val="26"/>
          <w:szCs w:val="26"/>
          <w:lang w:val="lv-LV"/>
        </w:rPr>
        <w:noBreakHyphen/>
        <w:t>21).</w:t>
      </w:r>
      <w:r>
        <w:rPr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Darba grupa secināja, ka Voleru (KR</w:t>
      </w:r>
      <w:r w:rsidRPr="00BD1D09">
        <w:rPr>
          <w:b/>
          <w:bCs/>
          <w:sz w:val="26"/>
          <w:szCs w:val="26"/>
          <w:lang w:val="lv-LV"/>
        </w:rPr>
        <w:noBreakHyphen/>
        <w:t>21) un Sarkandaugavas (EO</w:t>
      </w:r>
      <w:r w:rsidRPr="00BD1D09">
        <w:rPr>
          <w:b/>
          <w:bCs/>
          <w:sz w:val="26"/>
          <w:szCs w:val="26"/>
          <w:lang w:val="lv-LV"/>
        </w:rPr>
        <w:noBreakHyphen/>
        <w:t>11) vietas ir vispiemērotākās turpmākajai prāmju satiksmes izpētei.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To noteica vairāki būtiski kritēriji saistībā ar piekļūšanu, ietekmi uz dzīvojamo vidi, kuģošanas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prasībām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tehniskās īstenošanas iespējām:</w:t>
      </w:r>
    </w:p>
    <w:p w:rsidR="0022516D" w:rsidRPr="00BD1D09" w:rsidP="0022516D" w14:paraId="368DFC44" w14:textId="5ED9817E">
      <w:pPr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abām vietām ir tieša piekļuve</w:t>
      </w:r>
      <w:r w:rsidRPr="00CE1146"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no maģistrālajiem pievedceļiem, kas paredzēti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intensīvai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transporta kustībai un atrodas ārpus dzīvojamām teritorijām. KR</w:t>
      </w:r>
      <w:r w:rsidRPr="00BD1D09">
        <w:rPr>
          <w:sz w:val="26"/>
          <w:szCs w:val="26"/>
          <w:lang w:val="lv-LV"/>
        </w:rPr>
        <w:noBreakHyphen/>
        <w:t xml:space="preserve">21 </w:t>
      </w:r>
      <w:r w:rsidRPr="00BD1D09">
        <w:rPr>
          <w:sz w:val="26"/>
          <w:szCs w:val="26"/>
          <w:lang w:val="lv-LV"/>
        </w:rPr>
        <w:t>Voleros ir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savienojums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ar Daugavgrīvas ielu, bet EO</w:t>
      </w:r>
      <w:r w:rsidRPr="00BD1D09">
        <w:rPr>
          <w:sz w:val="26"/>
          <w:szCs w:val="26"/>
          <w:lang w:val="lv-LV"/>
        </w:rPr>
        <w:noBreakHyphen/>
        <w:t>11 Sarkandaugavā ar Uriekstes ielu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tālāk ar Austrumu maģistrāli un Dienvidu tiltu</w:t>
      </w:r>
      <w:r>
        <w:rPr>
          <w:sz w:val="26"/>
          <w:szCs w:val="26"/>
          <w:lang w:val="lv-LV"/>
        </w:rPr>
        <w:t>;</w:t>
      </w:r>
    </w:p>
    <w:p w:rsidR="0022516D" w:rsidRPr="00BD1D09" w:rsidP="0022516D" w14:paraId="001387C9" w14:textId="7B8121E3">
      <w:pPr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šo piestātņu izvietojums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centrālā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industriālā ostas zonā nodrošina minimālu ietekmi uz dzīvojamo vidi 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 xml:space="preserve"> apkārtnē nav dzīvojamo ēku,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līdz ar to,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nerodas trokšņa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vai satiksmes drošības riski, kas būtu neizbēgami Vecmīlgrāvja lokācijās</w:t>
      </w:r>
      <w:r>
        <w:rPr>
          <w:sz w:val="26"/>
          <w:szCs w:val="26"/>
          <w:lang w:val="lv-LV"/>
        </w:rPr>
        <w:t>;</w:t>
      </w:r>
    </w:p>
    <w:p w:rsidR="0022516D" w:rsidRPr="00BD1D09" w:rsidP="0022516D" w14:paraId="084CDDA6" w14:textId="63284824">
      <w:pPr>
        <w:numPr>
          <w:ilvl w:val="0"/>
          <w:numId w:val="6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abās vietās ir labvēlīgi kuģošanas apstākļi. Voleros ir pietiekami dziļumi ROPAX tipa kuģu drošai ienākšanai, savukārt EO</w:t>
      </w:r>
      <w:r w:rsidRPr="00BD1D09">
        <w:rPr>
          <w:sz w:val="26"/>
          <w:szCs w:val="26"/>
          <w:lang w:val="lv-LV"/>
        </w:rPr>
        <w:noBreakHyphen/>
        <w:t>11 Sarkandaugavā ir garš un kvalitatīvs piestātnes korpuss (~350 m)</w:t>
      </w:r>
      <w:r>
        <w:rPr>
          <w:sz w:val="26"/>
          <w:szCs w:val="26"/>
          <w:lang w:val="lv-LV"/>
        </w:rPr>
        <w:t>;</w:t>
      </w:r>
    </w:p>
    <w:p w:rsidR="0022516D" w:rsidRPr="00BD1D09" w:rsidP="0022516D" w14:paraId="07DFE28E" w14:textId="7928905F">
      <w:pPr>
        <w:numPr>
          <w:ilvl w:val="0"/>
          <w:numId w:val="7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 xml:space="preserve">abās vietās jau ir esoša ostas infrastruktūra 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 xml:space="preserve"> piestātnes, laukumi, manevru teritorijas un ceļi, kas būtiski samazina nepieciešamību veikt dārgus hidrotehniskus būvdarbus. Lielākā daļa pielāgojumu aprobežotos ar rampu un atsevišķu tehnisko mezglu izbūvi</w:t>
      </w:r>
      <w:r>
        <w:rPr>
          <w:sz w:val="26"/>
          <w:szCs w:val="26"/>
          <w:lang w:val="lv-LV"/>
        </w:rPr>
        <w:t>;</w:t>
      </w:r>
    </w:p>
    <w:p w:rsidR="0022516D" w:rsidRPr="00BD1D09" w:rsidP="0022516D" w14:paraId="33031A07" w14:textId="015D82D2">
      <w:pPr>
        <w:numPr>
          <w:ilvl w:val="0"/>
          <w:numId w:val="8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Voleru–Sarkandaugavas posma attālums (~2,8 km)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nodrošina īsu un efektīvu prāmja kustības maršrutu, kas ļauj sasniegt augstu reisu biežumu un ekonomiski pamatotu ekspluatāciju. Šis attālums ir ievērojami īsāks par vairākiem agrāk pētītiem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variantiem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īsāks nekā SIA “Imink”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projekta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piedāvājumā</w:t>
      </w:r>
      <w:r>
        <w:rPr>
          <w:sz w:val="26"/>
          <w:szCs w:val="26"/>
          <w:lang w:val="lv-LV"/>
        </w:rPr>
        <w:t>;</w:t>
      </w:r>
    </w:p>
    <w:p w:rsidR="0022516D" w:rsidRPr="00BD1D09" w:rsidP="0022516D" w14:paraId="190A47EB" w14:textId="77777777">
      <w:pPr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esošo piestātņu pielāgošana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ROPAX kuģiem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provizoriski varētu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izmaksāt aptuveni 1</w:t>
      </w:r>
      <w:r>
        <w:rPr>
          <w:sz w:val="26"/>
          <w:szCs w:val="26"/>
          <w:lang w:val="lv-LV"/>
        </w:rPr>
        <w:t>-</w:t>
      </w:r>
      <w:r w:rsidRPr="00BD1D09">
        <w:rPr>
          <w:sz w:val="26"/>
          <w:szCs w:val="26"/>
          <w:lang w:val="lv-LV"/>
        </w:rPr>
        <w:t>2 miljonus EUR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projekta īstenošana varētu notikt salīdzinoši ātri ar nosacījumu,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sadarbībai piekrīt nomnieki.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Pamatojoties uz Ostas un Pašvaldību likumu</w:t>
      </w:r>
      <w:r>
        <w:rPr>
          <w:sz w:val="26"/>
          <w:szCs w:val="26"/>
          <w:lang w:val="lv-LV"/>
        </w:rPr>
        <w:t xml:space="preserve">, </w:t>
      </w:r>
      <w:r w:rsidRPr="00BD1D09">
        <w:rPr>
          <w:sz w:val="26"/>
          <w:szCs w:val="26"/>
          <w:lang w:val="lv-LV"/>
        </w:rPr>
        <w:t>Rīgas pašvaldība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nevar veikt ieguldījumus infrastruktūras izbūvē vai </w:t>
      </w:r>
      <w:r w:rsidRPr="00CE1146">
        <w:rPr>
          <w:sz w:val="26"/>
          <w:szCs w:val="26"/>
          <w:lang w:val="lv-LV"/>
        </w:rPr>
        <w:t>rekonstrukcijā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Rīgas brīvostas teritorijā.</w:t>
      </w:r>
    </w:p>
    <w:p w:rsidR="0022516D" w:rsidRPr="00BD1D09" w:rsidP="0022516D" w14:paraId="3A75CDAD" w14:textId="77777777">
      <w:pPr>
        <w:ind w:firstLine="720"/>
        <w:jc w:val="both"/>
        <w:rPr>
          <w:sz w:val="26"/>
          <w:szCs w:val="26"/>
          <w:lang w:val="lv-LV"/>
        </w:rPr>
      </w:pPr>
    </w:p>
    <w:p w:rsidR="0022516D" w:rsidRPr="00BD1D09" w:rsidP="0022516D" w14:paraId="54602E61" w14:textId="77777777">
      <w:pPr>
        <w:numPr>
          <w:ilvl w:val="0"/>
          <w:numId w:val="10"/>
        </w:numPr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Prāmju satiksmes modelis un tehniski</w:t>
      </w:r>
      <w:r>
        <w:rPr>
          <w:b/>
          <w:bCs/>
          <w:sz w:val="26"/>
          <w:szCs w:val="26"/>
          <w:lang w:val="lv-LV"/>
        </w:rPr>
        <w:t xml:space="preserve"> - </w:t>
      </w:r>
      <w:r w:rsidRPr="00BD1D09">
        <w:rPr>
          <w:b/>
          <w:bCs/>
          <w:sz w:val="26"/>
          <w:szCs w:val="26"/>
          <w:lang w:val="lv-LV"/>
        </w:rPr>
        <w:t>ekonomiskais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sākotnējais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izvērtējums</w:t>
      </w:r>
    </w:p>
    <w:p w:rsidR="0022516D" w:rsidP="0022516D" w14:paraId="08E0127D" w14:textId="77777777">
      <w:pPr>
        <w:ind w:firstLine="720"/>
        <w:jc w:val="both"/>
        <w:rPr>
          <w:sz w:val="26"/>
          <w:szCs w:val="26"/>
          <w:lang w:val="lv-LV"/>
        </w:rPr>
      </w:pPr>
      <w:bookmarkStart w:id="1" w:name="_Hlk223678586"/>
    </w:p>
    <w:p w:rsidR="0022516D" w:rsidP="0022516D" w14:paraId="1731F152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Prāmja satiksmes darbības modelis starp Voleru (KR</w:t>
      </w:r>
      <w:r w:rsidRPr="00BD1D09">
        <w:rPr>
          <w:sz w:val="26"/>
          <w:szCs w:val="26"/>
          <w:lang w:val="lv-LV"/>
        </w:rPr>
        <w:noBreakHyphen/>
        <w:t>21) un Sarkandaugavas (EO</w:t>
      </w:r>
      <w:r w:rsidRPr="00BD1D09">
        <w:rPr>
          <w:sz w:val="26"/>
          <w:szCs w:val="26"/>
          <w:lang w:val="lv-LV"/>
        </w:rPr>
        <w:noBreakHyphen/>
        <w:t>11) piestātnēm paredzētu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regulārus, prognozējamus un loģistiski pielāgotus reisus, kuru mērķis ir nodrošināt nepārtrauktu savienojumu starp divām Rīgas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ostas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pusēm, atslogojot pilsētas transporta koridorus un tiltu sistēmu. </w:t>
      </w:r>
      <w:bookmarkEnd w:id="1"/>
      <w:r w:rsidRPr="00952C91">
        <w:rPr>
          <w:sz w:val="26"/>
          <w:szCs w:val="26"/>
          <w:lang w:val="lv-LV"/>
        </w:rPr>
        <w:t>Ņemot vērā īso maršruta garumu (~2,8 km) un salīdzinoši īso brauciena laiku (~15 min.) un uzbraukšanai un nobraukšanai nepieciešamo laiku (~15 min.)</w:t>
      </w:r>
      <w:r>
        <w:rPr>
          <w:sz w:val="26"/>
          <w:szCs w:val="26"/>
          <w:lang w:val="lv-LV"/>
        </w:rPr>
        <w:t>,</w:t>
      </w:r>
      <w:r w:rsidRPr="00952C91">
        <w:rPr>
          <w:sz w:val="26"/>
          <w:szCs w:val="26"/>
          <w:lang w:val="lv-LV"/>
        </w:rPr>
        <w:t xml:space="preserve"> teorētiski būtu iespējams nodrošināt augstu reisu biežumu</w:t>
      </w:r>
      <w:r>
        <w:rPr>
          <w:sz w:val="26"/>
          <w:szCs w:val="26"/>
          <w:lang w:val="lv-LV"/>
        </w:rPr>
        <w:t xml:space="preserve"> - </w:t>
      </w:r>
      <w:r w:rsidRPr="00952C91">
        <w:rPr>
          <w:sz w:val="26"/>
          <w:szCs w:val="26"/>
          <w:lang w:val="lv-LV"/>
        </w:rPr>
        <w:t>1 līdz 2 reisi stundā.</w:t>
      </w:r>
      <w:r>
        <w:rPr>
          <w:sz w:val="26"/>
          <w:szCs w:val="26"/>
          <w:lang w:val="lv-LV"/>
        </w:rPr>
        <w:t xml:space="preserve"> </w:t>
      </w:r>
    </w:p>
    <w:p w:rsidR="0022516D" w:rsidRPr="006F07FF" w:rsidP="0022516D" w14:paraId="72039B32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Analizējot Bolderājas un Ve</w:t>
      </w:r>
      <w:r w:rsidRPr="00CE1146">
        <w:rPr>
          <w:b/>
          <w:bCs/>
          <w:sz w:val="26"/>
          <w:szCs w:val="26"/>
          <w:lang w:val="lv-LV"/>
        </w:rPr>
        <w:t>c</w:t>
      </w:r>
      <w:r w:rsidRPr="00BD1D09">
        <w:rPr>
          <w:b/>
          <w:bCs/>
          <w:sz w:val="26"/>
          <w:szCs w:val="26"/>
          <w:lang w:val="lv-LV"/>
        </w:rPr>
        <w:t xml:space="preserve">mīlgrāvja sasniedzamību, kā arī datus par vieglā un kravu transporta </w:t>
      </w:r>
      <w:r>
        <w:rPr>
          <w:b/>
          <w:bCs/>
          <w:sz w:val="26"/>
          <w:szCs w:val="26"/>
          <w:lang w:val="lv-LV"/>
        </w:rPr>
        <w:t>“</w:t>
      </w:r>
      <w:r w:rsidRPr="00BD1D09">
        <w:rPr>
          <w:b/>
          <w:bCs/>
          <w:sz w:val="26"/>
          <w:szCs w:val="26"/>
          <w:lang w:val="lv-LV"/>
        </w:rPr>
        <w:t>spiedienu</w:t>
      </w:r>
      <w:r>
        <w:rPr>
          <w:b/>
          <w:bCs/>
          <w:sz w:val="26"/>
          <w:szCs w:val="26"/>
          <w:lang w:val="lv-LV"/>
        </w:rPr>
        <w:t>”</w:t>
      </w:r>
      <w:r w:rsidRPr="00BD1D09">
        <w:rPr>
          <w:b/>
          <w:bCs/>
          <w:sz w:val="26"/>
          <w:szCs w:val="26"/>
          <w:lang w:val="lv-LV"/>
        </w:rPr>
        <w:t xml:space="preserve"> uz Daugavas asi,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Darba grupa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secina, ka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b/>
          <w:bCs/>
          <w:sz w:val="26"/>
          <w:szCs w:val="26"/>
          <w:lang w:val="lv-LV"/>
        </w:rPr>
        <w:t>prāmja pārceltuvi būtu izdevīgi izmantot 5% no vieglā transporta plūsmām un līdz 14% no kravas transporta plūsmām.</w:t>
      </w:r>
      <w:r>
        <w:rPr>
          <w:b/>
          <w:bCs/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Iespējamais pieprasījums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pēc pārceltuves pakalpojumiem varētu būt ap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300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600 vieglajiem auto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stundā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ap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120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kravas automobiļiem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dienā (~5/h vidēji; ~8–10/h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maksimu</w:t>
      </w:r>
      <w:r w:rsidRPr="00CE1146">
        <w:rPr>
          <w:sz w:val="26"/>
          <w:szCs w:val="26"/>
          <w:lang w:val="lv-LV"/>
        </w:rPr>
        <w:t>m</w:t>
      </w:r>
      <w:r w:rsidRPr="00BD1D09">
        <w:rPr>
          <w:sz w:val="26"/>
          <w:szCs w:val="26"/>
          <w:lang w:val="lv-LV"/>
        </w:rPr>
        <w:t>stundās)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(SIA “Imink” un SIA “Mapon”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dati uz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2022.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gadu)</w:t>
      </w:r>
      <w:r>
        <w:rPr>
          <w:sz w:val="26"/>
          <w:szCs w:val="26"/>
          <w:lang w:val="lv-LV"/>
        </w:rPr>
        <w:t>.</w:t>
      </w:r>
    </w:p>
    <w:p w:rsidR="0022516D" w:rsidRPr="00BD1D09" w:rsidP="0022516D" w14:paraId="0F65C727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Apskatītajā modelī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(piemērs)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kuģis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varētu nodrošināt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līdz 24 reisiem 12 h periodā, ar pārvadāšanas jaudu līdz 336 kravas automašīnām (pie nosacījuma, ka vienā reisā tiek pārvadātas ~14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kravas automašīnas)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vai līdz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1536 </w:t>
      </w:r>
      <w:r w:rsidRPr="00BD1D09">
        <w:rPr>
          <w:sz w:val="26"/>
          <w:szCs w:val="26"/>
          <w:lang w:val="lv-LV"/>
        </w:rPr>
        <w:t>vieglajām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automašīnām (pie nosacījuma, ka vienā reisā tiek pārvadātas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64 vieglās </w:t>
      </w:r>
      <w:r>
        <w:rPr>
          <w:sz w:val="26"/>
          <w:szCs w:val="26"/>
          <w:lang w:val="lv-LV"/>
        </w:rPr>
        <w:t>auto</w:t>
      </w:r>
      <w:r w:rsidRPr="00BD1D09">
        <w:rPr>
          <w:sz w:val="26"/>
          <w:szCs w:val="26"/>
          <w:lang w:val="lv-LV"/>
        </w:rPr>
        <w:t>mašīnas).</w:t>
      </w:r>
    </w:p>
    <w:p w:rsidR="0022516D" w:rsidRPr="00CE1146" w:rsidP="0022516D" w14:paraId="4E95CB8E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Šādā modelī (kravas automašīnu) tiltiem atvieglota slodze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–5% līdz –8%.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Ielu noslodzes kritums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–1% līdz –2%.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Nenobrauktie km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3</w:t>
      </w:r>
      <w:r>
        <w:rPr>
          <w:sz w:val="26"/>
          <w:szCs w:val="26"/>
          <w:lang w:val="lv-LV"/>
        </w:rPr>
        <w:t> </w:t>
      </w:r>
      <w:r w:rsidRPr="00BD1D09">
        <w:rPr>
          <w:sz w:val="26"/>
          <w:szCs w:val="26"/>
          <w:lang w:val="lv-LV"/>
        </w:rPr>
        <w:t>600 km/dienā.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Finansiālais ietaupījums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3 240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–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4 680 €/dienā</w:t>
      </w:r>
      <w:r>
        <w:rPr>
          <w:sz w:val="26"/>
          <w:szCs w:val="26"/>
          <w:lang w:val="lv-LV"/>
        </w:rPr>
        <w:t xml:space="preserve">, </w:t>
      </w:r>
      <w:r w:rsidRPr="00BD1D09">
        <w:rPr>
          <w:sz w:val="26"/>
          <w:szCs w:val="26"/>
          <w:lang w:val="lv-LV"/>
        </w:rPr>
        <w:t>CO₂ samazinājums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3.2–4.0 t/dienā</w:t>
      </w:r>
      <w:r>
        <w:rPr>
          <w:sz w:val="26"/>
          <w:szCs w:val="26"/>
          <w:lang w:val="lv-LV"/>
        </w:rPr>
        <w:t xml:space="preserve"> un c</w:t>
      </w:r>
      <w:r w:rsidRPr="00BD1D09">
        <w:rPr>
          <w:sz w:val="26"/>
          <w:szCs w:val="26"/>
          <w:lang w:val="lv-LV"/>
        </w:rPr>
        <w:t>eļu nodiluma ietaupījums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144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–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360 €/dienā.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Smagie auto, kas nešķērso dzīvojamās ielas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120/dienā</w:t>
      </w:r>
      <w:r>
        <w:rPr>
          <w:sz w:val="26"/>
          <w:szCs w:val="26"/>
          <w:lang w:val="lv-LV"/>
        </w:rPr>
        <w:t xml:space="preserve"> un o</w:t>
      </w:r>
      <w:r w:rsidRPr="00BD1D09">
        <w:rPr>
          <w:sz w:val="26"/>
          <w:szCs w:val="26"/>
          <w:lang w:val="lv-LV"/>
        </w:rPr>
        <w:t>stas efektivitātes kāpums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+4% līdz +5%, taču jāņem vērā, ka pieprasījums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atkarīgs no laika patēriņa, satiksmes regularitātēs, biežuma un izmaksām, tāpēc nepieciešami tālāki izpētes darbi un šie ir </w:t>
      </w:r>
      <w:r>
        <w:rPr>
          <w:sz w:val="26"/>
          <w:szCs w:val="26"/>
          <w:lang w:val="lv-LV"/>
        </w:rPr>
        <w:t xml:space="preserve">tikai </w:t>
      </w:r>
      <w:r w:rsidRPr="00BD1D09">
        <w:rPr>
          <w:sz w:val="26"/>
          <w:szCs w:val="26"/>
          <w:lang w:val="lv-LV"/>
        </w:rPr>
        <w:t>provizoriski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aprēķini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izpē</w:t>
      </w:r>
      <w:r w:rsidRPr="00BD1D09">
        <w:rPr>
          <w:sz w:val="26"/>
          <w:szCs w:val="26"/>
          <w:lang w:val="lv-LV"/>
        </w:rPr>
        <w:t>tes.</w:t>
      </w:r>
    </w:p>
    <w:p w:rsidR="0022516D" w:rsidRPr="00BD1D09" w:rsidP="0022516D" w14:paraId="63AEDCC0" w14:textId="77777777">
      <w:pPr>
        <w:ind w:firstLine="720"/>
        <w:jc w:val="both"/>
        <w:rPr>
          <w:sz w:val="26"/>
          <w:szCs w:val="26"/>
          <w:lang w:val="lv-LV"/>
        </w:rPr>
      </w:pPr>
    </w:p>
    <w:p w:rsidR="0022516D" w:rsidRPr="006F07FF" w:rsidP="0022516D" w14:paraId="4657AD9B" w14:textId="77777777">
      <w:pPr>
        <w:numPr>
          <w:ilvl w:val="0"/>
          <w:numId w:val="11"/>
        </w:numPr>
        <w:jc w:val="both"/>
        <w:rPr>
          <w:sz w:val="26"/>
          <w:szCs w:val="26"/>
          <w:lang w:val="lv-LV"/>
        </w:rPr>
      </w:pPr>
      <w:r w:rsidRPr="00BD1D09">
        <w:rPr>
          <w:b/>
          <w:bCs/>
          <w:sz w:val="26"/>
          <w:szCs w:val="26"/>
          <w:lang w:val="lv-LV"/>
        </w:rPr>
        <w:t>Secinājumi un rekomendācijas tālākām aktivitātēm</w:t>
      </w:r>
    </w:p>
    <w:p w:rsidR="0022516D" w:rsidP="0022516D" w14:paraId="2CABF6D1" w14:textId="77777777">
      <w:pPr>
        <w:ind w:firstLine="720"/>
        <w:jc w:val="both"/>
        <w:rPr>
          <w:sz w:val="26"/>
          <w:szCs w:val="26"/>
          <w:lang w:val="lv-LV"/>
        </w:rPr>
      </w:pPr>
    </w:p>
    <w:p w:rsidR="0022516D" w:rsidRPr="00BD1D09" w:rsidP="0022516D" w14:paraId="5C286BCB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 xml:space="preserve">Projekta izpēte par regulāras prāmju </w:t>
      </w:r>
      <w:r w:rsidRPr="00BD1D09">
        <w:rPr>
          <w:sz w:val="26"/>
          <w:szCs w:val="26"/>
          <w:lang w:val="lv-LV"/>
        </w:rPr>
        <w:t>satiksmes izveidi maršrutā Vecmīlgrāvis</w:t>
      </w:r>
      <w:r>
        <w:rPr>
          <w:sz w:val="26"/>
          <w:szCs w:val="26"/>
          <w:lang w:val="lv-LV"/>
        </w:rPr>
        <w:t xml:space="preserve"> - </w:t>
      </w:r>
      <w:r w:rsidRPr="00BD1D09">
        <w:rPr>
          <w:sz w:val="26"/>
          <w:szCs w:val="26"/>
          <w:lang w:val="lv-LV"/>
        </w:rPr>
        <w:t>Bolderāja apliecina, ka šāds savienojums sniegtu ieguvumus Rīgai, ostai un iedzīvotājiem,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uzlabojot mobilitāti, vides kvalitāti un ostas darbības efektivitāti.</w:t>
      </w:r>
    </w:p>
    <w:p w:rsidR="0022516D" w:rsidRPr="00BD1D09" w:rsidP="0022516D" w14:paraId="15BC299C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Prāmju satiksme tehniski ir iespējama, taču nav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optimāli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īstenojama bez Rīgas brīvostas uzņēmēju iesaistes. </w:t>
      </w:r>
    </w:p>
    <w:p w:rsidR="0022516D" w:rsidRPr="00BD1D09" w:rsidP="0022516D" w14:paraId="6E94F77F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Prāmja satiksme samazinātu transporta slodzi uz Daugavas tiltiem un galvenajām ielām,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samazinot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nepieciešamību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veikt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garus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braucienus</w:t>
      </w:r>
      <w:r>
        <w:rPr>
          <w:sz w:val="26"/>
          <w:szCs w:val="26"/>
          <w:lang w:val="lv-LV"/>
        </w:rPr>
        <w:t xml:space="preserve">, </w:t>
      </w:r>
      <w:r w:rsidRPr="00BD1D09">
        <w:rPr>
          <w:sz w:val="26"/>
          <w:szCs w:val="26"/>
          <w:lang w:val="lv-LV"/>
        </w:rPr>
        <w:t>izmantojot esošo transporta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infrastruktūru.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Tas saīsinātu </w:t>
      </w:r>
      <w:r w:rsidRPr="00BD1D09">
        <w:rPr>
          <w:sz w:val="26"/>
          <w:szCs w:val="26"/>
          <w:lang w:val="lv-LV"/>
        </w:rPr>
        <w:t>kravas pārvadājumu laiku līdz pat ~1 stundai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(teorētisks aprēķins), vienlaikus mazinot satiksmes negadījumu riskus un gaisa piesārņojumu. Projekts stiprinātu Bolderājas,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Vecmīlgrāvja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un </w:t>
      </w:r>
      <w:r w:rsidRPr="00CE1146">
        <w:rPr>
          <w:sz w:val="26"/>
          <w:szCs w:val="26"/>
          <w:lang w:val="lv-LV"/>
        </w:rPr>
        <w:t>Sarkandaugavas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industriālo attīstību, veicinot teritoriju ekonomisko nozīmi un pieejamību.</w:t>
      </w:r>
    </w:p>
    <w:p w:rsidR="0022516D" w:rsidP="0022516D" w14:paraId="63E7BB52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 xml:space="preserve">Darba grupas </w:t>
      </w:r>
      <w:r w:rsidRPr="00CE1146">
        <w:rPr>
          <w:sz w:val="26"/>
          <w:szCs w:val="26"/>
          <w:lang w:val="lv-LV"/>
        </w:rPr>
        <w:t>rekomendācija</w:t>
      </w:r>
      <w:r w:rsidRPr="00BD1D09">
        <w:rPr>
          <w:sz w:val="26"/>
          <w:szCs w:val="26"/>
          <w:lang w:val="lv-LV"/>
        </w:rPr>
        <w:t xml:space="preserve"> ir izmantot esošās piestātnes Rīgas brīvostas teritorijā, tās pielāgojot</w:t>
      </w:r>
      <w:r>
        <w:rPr>
          <w:sz w:val="26"/>
          <w:szCs w:val="26"/>
          <w:lang w:val="lv-LV"/>
        </w:rPr>
        <w:t>,</w:t>
      </w:r>
      <w:r w:rsidRPr="00BD1D09">
        <w:rPr>
          <w:sz w:val="26"/>
          <w:szCs w:val="26"/>
          <w:lang w:val="lv-LV"/>
        </w:rPr>
        <w:t xml:space="preserve"> nevis būvēt jaunas piestātnes.</w:t>
      </w:r>
    </w:p>
    <w:p w:rsidR="0022516D" w:rsidRPr="00BD1D09" w:rsidP="0022516D" w14:paraId="4C0A201D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Lai īstenotu šo projektu,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ar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Rīgas brīvostas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nomniekiem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sarunu ceļā jārisina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juridiskie, finansiālie un tehniskie jautājumi. Projekta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īstenošana nav iespējama bez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nomnieku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iesaistes, jo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 xml:space="preserve">Rīgas </w:t>
      </w:r>
      <w:r>
        <w:rPr>
          <w:sz w:val="26"/>
          <w:szCs w:val="26"/>
          <w:lang w:val="lv-LV"/>
        </w:rPr>
        <w:t xml:space="preserve">valstspilsētas </w:t>
      </w:r>
      <w:r w:rsidRPr="00BD1D09">
        <w:rPr>
          <w:sz w:val="26"/>
          <w:szCs w:val="26"/>
          <w:lang w:val="lv-LV"/>
        </w:rPr>
        <w:t>pašvaldība nevar ieguldīt līdzekļus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Rīgas brīvostas teritorijā.</w:t>
      </w:r>
    </w:p>
    <w:p w:rsidR="0022516D" w:rsidRPr="00BD1D09" w:rsidP="0022516D" w14:paraId="3B7EE4E2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Spēcīgāks pieprasījums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varētu veidoties, ja kravas transportam slē</w:t>
      </w:r>
      <w:r>
        <w:rPr>
          <w:sz w:val="26"/>
          <w:szCs w:val="26"/>
          <w:lang w:val="lv-LV"/>
        </w:rPr>
        <w:t>gtu</w:t>
      </w:r>
      <w:r w:rsidRPr="00BD1D09">
        <w:rPr>
          <w:sz w:val="26"/>
          <w:szCs w:val="26"/>
          <w:lang w:val="lv-LV"/>
        </w:rPr>
        <w:t xml:space="preserve"> Salu tiltu, atstājot izvēli: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prāmis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Dienvidu tilts, bet</w:t>
      </w:r>
      <w:r w:rsidRPr="00CE1146"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šis risinājums būtu jāmodelē tālākās izpētēs.</w:t>
      </w:r>
    </w:p>
    <w:p w:rsidR="0022516D" w:rsidRPr="00BD1D09" w:rsidP="0022516D" w14:paraId="0E1F7E9B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Prāmja nozīmi varētu stiprināt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Ziemeļu transporta 3.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4. kārtas</w:t>
      </w:r>
      <w:r>
        <w:rPr>
          <w:sz w:val="26"/>
          <w:szCs w:val="26"/>
          <w:lang w:val="lv-LV"/>
        </w:rPr>
        <w:t xml:space="preserve"> un </w:t>
      </w:r>
      <w:r w:rsidRPr="00BD1D09">
        <w:rPr>
          <w:sz w:val="26"/>
          <w:szCs w:val="26"/>
          <w:lang w:val="lv-LV"/>
        </w:rPr>
        <w:t xml:space="preserve"> izbūve, prāmja risinājums īstermiņā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kādā mērā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kompensētu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Daugavas šķērsojuma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infrastruktūras trūkumus un sniegtu nepieciešamo alternatīvu kravu kustībai. Vienlaikus,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prāmju pārceltuve neatceļ ilgtermiņa nepieciešamību pēc jauna Ziemeļu koridora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šķērsojuma.</w:t>
      </w:r>
    </w:p>
    <w:p w:rsidR="0022516D" w:rsidRPr="00BD1D09" w:rsidP="0022516D" w14:paraId="6948C53E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Prāmja savienojuma ieviešana radītu arī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nepieciešamību</w:t>
      </w:r>
      <w:r>
        <w:rPr>
          <w:sz w:val="26"/>
          <w:szCs w:val="26"/>
          <w:lang w:val="lv-LV"/>
        </w:rPr>
        <w:t xml:space="preserve"> </w:t>
      </w:r>
      <w:r w:rsidRPr="00CE1146">
        <w:rPr>
          <w:sz w:val="26"/>
          <w:szCs w:val="26"/>
          <w:lang w:val="lv-LV"/>
        </w:rPr>
        <w:t>rekonstruēt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Daugavgrīvas ielu un Tvaika ielu, kas kalpotu par galvenajiem pievedceļiem prāmju satiksmei, uzlabojot kopējo mobilitāti ostas piekļuves zonās.</w:t>
      </w:r>
    </w:p>
    <w:p w:rsidR="0022516D" w:rsidRPr="00BD1D09" w:rsidP="0022516D" w14:paraId="27C3B98F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Operacionāli jāņem vērā, ka prāmju darbību var ierobežot vējš &gt; 22 m/s, tomēr šis risks ir pieņemams un raksturīgs visiem Baltijas jūras prāmju maršrutiem.</w:t>
      </w:r>
    </w:p>
    <w:p w:rsidR="0022516D" w:rsidRPr="00BD1D09" w:rsidP="0022516D" w14:paraId="1AB27B38" w14:textId="77777777">
      <w:pPr>
        <w:ind w:firstLine="720"/>
        <w:jc w:val="both"/>
        <w:rPr>
          <w:sz w:val="26"/>
          <w:szCs w:val="26"/>
          <w:lang w:val="lv-LV"/>
        </w:rPr>
      </w:pPr>
      <w:r w:rsidRPr="00BD1D09">
        <w:rPr>
          <w:sz w:val="26"/>
          <w:szCs w:val="26"/>
          <w:lang w:val="lv-LV"/>
        </w:rPr>
        <w:t>Prāmju pārceltuves izveide sniegtu ietekmīgu, relatīvi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ekonomisku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un ātri īstenojamu risinājumu pilsētas mobilitātes, ostas loģistikas un vides kvalitātes uzlabošanai, vienlaikus saglabājot nepieciešamību turpināt ilgtermiņa investīcijas Rīgas ziemeļu transporta infrastruktūrā.</w:t>
      </w:r>
    </w:p>
    <w:p w:rsidR="0022516D" w:rsidP="0022516D" w14:paraId="4C2DC5C5" w14:textId="0CEA9291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Lūdzam</w:t>
      </w:r>
      <w:r w:rsidRPr="00BD1D09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izskatīt </w:t>
      </w:r>
      <w:r w:rsidRPr="00BD1D09">
        <w:rPr>
          <w:sz w:val="26"/>
          <w:szCs w:val="26"/>
          <w:lang w:val="lv-LV"/>
        </w:rPr>
        <w:t>un pieņemt zināšanai</w:t>
      </w:r>
      <w:r>
        <w:rPr>
          <w:sz w:val="26"/>
          <w:szCs w:val="26"/>
          <w:lang w:val="lv-LV"/>
        </w:rPr>
        <w:t xml:space="preserve"> </w:t>
      </w:r>
      <w:r w:rsidR="00414D28">
        <w:rPr>
          <w:sz w:val="26"/>
          <w:szCs w:val="26"/>
          <w:lang w:val="lv-LV"/>
        </w:rPr>
        <w:t xml:space="preserve">pārskatu </w:t>
      </w:r>
      <w:r w:rsidRPr="00BD1D09">
        <w:rPr>
          <w:sz w:val="26"/>
          <w:szCs w:val="26"/>
          <w:lang w:val="lv-LV"/>
        </w:rPr>
        <w:t>16.0</w:t>
      </w:r>
      <w:r>
        <w:rPr>
          <w:sz w:val="26"/>
          <w:szCs w:val="26"/>
          <w:lang w:val="lv-LV"/>
        </w:rPr>
        <w:t>3</w:t>
      </w:r>
      <w:r w:rsidRPr="00BD1D09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Pilsētas attīstības</w:t>
      </w:r>
      <w:r>
        <w:rPr>
          <w:sz w:val="26"/>
          <w:szCs w:val="26"/>
          <w:lang w:val="lv-LV"/>
        </w:rPr>
        <w:t xml:space="preserve"> </w:t>
      </w:r>
      <w:r w:rsidRPr="00BD1D09">
        <w:rPr>
          <w:sz w:val="26"/>
          <w:szCs w:val="26"/>
          <w:lang w:val="lv-LV"/>
        </w:rPr>
        <w:t>komitejas sēdē.</w:t>
      </w:r>
    </w:p>
    <w:p w:rsidR="00807F38" w:rsidP="00807F38" w14:paraId="4F06CB65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52B5C785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22B40D6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5EACBBC4" w14:textId="77777777" w:rsidTr="00807F38">
        <w:tblPrEx>
          <w:tblW w:w="0" w:type="auto"/>
          <w:tblLook w:val="04A0"/>
        </w:tblPrEx>
        <w:tc>
          <w:tcPr>
            <w:tcW w:w="5778" w:type="dxa"/>
            <w:hideMark/>
          </w:tcPr>
          <w:p w:rsidR="00807F38" w14:paraId="7072612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Rīgas valstspilsētas pašvaldības Pilsētas</w:t>
            </w:r>
            <w:r>
              <w:rPr>
                <w:sz w:val="26"/>
                <w:szCs w:val="26"/>
                <w:lang w:val="lv-LV"/>
              </w:rPr>
              <w:t xml:space="preserve"> attīstības departamenta direktora p.i. p.i.</w:t>
            </w:r>
            <w:r>
              <w:rPr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hideMark/>
          </w:tcPr>
          <w:p w:rsidR="00807F38" w14:paraId="6F0645B2" w14:textId="77777777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</w:instrText>
            </w:r>
            <w:r>
              <w:rPr>
                <w:sz w:val="26"/>
                <w:szCs w:val="26"/>
                <w:lang w:val="lv-LV"/>
              </w:rPr>
              <w:instrText>#PARAKST_V_UZV#</w:instrText>
            </w:r>
            <w:r>
              <w:rPr>
                <w:sz w:val="26"/>
                <w:szCs w:val="26"/>
                <w:lang w:val="lv-LV"/>
              </w:rPr>
              <w:instrText xml:space="preserve">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I.Urtāne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07F38" w:rsidP="00807F38" w14:paraId="23AC4305" w14:textId="77777777">
      <w:pPr>
        <w:rPr>
          <w:sz w:val="26"/>
          <w:szCs w:val="26"/>
          <w:lang w:val="lv-LV"/>
        </w:rPr>
      </w:pPr>
    </w:p>
    <w:p w:rsidR="00807F38" w:rsidP="00807F38" w14:paraId="2293D11D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8472"/>
      </w:tblGrid>
      <w:tr w14:paraId="236D3182" w14:textId="77777777" w:rsidTr="00807F38">
        <w:tblPrEx>
          <w:tblW w:w="0" w:type="auto"/>
          <w:tblLook w:val="04A0"/>
        </w:tblPrEx>
        <w:tc>
          <w:tcPr>
            <w:tcW w:w="8472" w:type="dxa"/>
            <w:hideMark/>
          </w:tcPr>
          <w:p w:rsidR="00807F38" w14:paraId="1BCA0527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Andiņš 67105020</w:t>
            </w:r>
          </w:p>
          <w:p w:rsidR="00807F38" w14:paraId="303464D0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807F38" w14:paraId="650C4984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051144" w:rsidRPr="000075DA" w:rsidP="00C440E3" w14:paraId="2F1118ED" w14:textId="77777777">
      <w:pPr>
        <w:rPr>
          <w:sz w:val="16"/>
          <w:szCs w:val="16"/>
          <w:lang w:val="lv-LV"/>
        </w:rPr>
      </w:pPr>
    </w:p>
    <w:sectPr w:rsidSect="0005114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2127459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69063EF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38EE105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FF6971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500068"/>
    <w:multiLevelType w:val="multilevel"/>
    <w:tmpl w:val="AAF4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D3262"/>
    <w:multiLevelType w:val="multilevel"/>
    <w:tmpl w:val="3D0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CB5FB8"/>
    <w:multiLevelType w:val="multilevel"/>
    <w:tmpl w:val="B2482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53D6F"/>
    <w:multiLevelType w:val="hybridMultilevel"/>
    <w:tmpl w:val="25908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A34FF"/>
    <w:multiLevelType w:val="multilevel"/>
    <w:tmpl w:val="C972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266102"/>
    <w:multiLevelType w:val="multilevel"/>
    <w:tmpl w:val="8E84C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86770"/>
    <w:multiLevelType w:val="multilevel"/>
    <w:tmpl w:val="00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7B1B97"/>
    <w:multiLevelType w:val="multilevel"/>
    <w:tmpl w:val="4BD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C0060A"/>
    <w:multiLevelType w:val="multilevel"/>
    <w:tmpl w:val="BD26C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16D48"/>
    <w:multiLevelType w:val="multilevel"/>
    <w:tmpl w:val="4306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031CB1"/>
    <w:multiLevelType w:val="multilevel"/>
    <w:tmpl w:val="E58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9865">
    <w:abstractNumId w:val="11"/>
  </w:num>
  <w:num w:numId="2" w16cid:durableId="1104039287">
    <w:abstractNumId w:val="0"/>
  </w:num>
  <w:num w:numId="3" w16cid:durableId="336620827">
    <w:abstractNumId w:val="2"/>
  </w:num>
  <w:num w:numId="4" w16cid:durableId="777986754">
    <w:abstractNumId w:val="7"/>
  </w:num>
  <w:num w:numId="5" w16cid:durableId="1773670454">
    <w:abstractNumId w:val="1"/>
  </w:num>
  <w:num w:numId="6" w16cid:durableId="804086931">
    <w:abstractNumId w:val="6"/>
  </w:num>
  <w:num w:numId="7" w16cid:durableId="795411254">
    <w:abstractNumId w:val="10"/>
  </w:num>
  <w:num w:numId="8" w16cid:durableId="572860890">
    <w:abstractNumId w:val="4"/>
  </w:num>
  <w:num w:numId="9" w16cid:durableId="952128031">
    <w:abstractNumId w:val="9"/>
  </w:num>
  <w:num w:numId="10" w16cid:durableId="936446696">
    <w:abstractNumId w:val="5"/>
  </w:num>
  <w:num w:numId="11" w16cid:durableId="1574971155">
    <w:abstractNumId w:val="8"/>
  </w:num>
  <w:num w:numId="12" w16cid:durableId="1563056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71F1"/>
    <w:rsid w:val="00035626"/>
    <w:rsid w:val="00037171"/>
    <w:rsid w:val="000510D2"/>
    <w:rsid w:val="00051144"/>
    <w:rsid w:val="000536A3"/>
    <w:rsid w:val="00054F3E"/>
    <w:rsid w:val="0005675F"/>
    <w:rsid w:val="00071A6E"/>
    <w:rsid w:val="000742FC"/>
    <w:rsid w:val="0008766E"/>
    <w:rsid w:val="00092ACF"/>
    <w:rsid w:val="000965E3"/>
    <w:rsid w:val="000A2FC3"/>
    <w:rsid w:val="000A50D7"/>
    <w:rsid w:val="000B671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7219"/>
    <w:rsid w:val="001C731E"/>
    <w:rsid w:val="001C76CF"/>
    <w:rsid w:val="001D6253"/>
    <w:rsid w:val="0021183B"/>
    <w:rsid w:val="00214873"/>
    <w:rsid w:val="0022516D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633AD"/>
    <w:rsid w:val="00374868"/>
    <w:rsid w:val="003C6416"/>
    <w:rsid w:val="003D1AF5"/>
    <w:rsid w:val="003D52CB"/>
    <w:rsid w:val="003D7C28"/>
    <w:rsid w:val="003E1574"/>
    <w:rsid w:val="004037C0"/>
    <w:rsid w:val="00410A08"/>
    <w:rsid w:val="00414D2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D7ED9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A2AD2"/>
    <w:rsid w:val="005B17C3"/>
    <w:rsid w:val="005C6659"/>
    <w:rsid w:val="005D2A88"/>
    <w:rsid w:val="005E5D79"/>
    <w:rsid w:val="005F19A7"/>
    <w:rsid w:val="005F431D"/>
    <w:rsid w:val="005F4A17"/>
    <w:rsid w:val="0060395C"/>
    <w:rsid w:val="00637D65"/>
    <w:rsid w:val="0064281A"/>
    <w:rsid w:val="00671F14"/>
    <w:rsid w:val="00676B33"/>
    <w:rsid w:val="0068008E"/>
    <w:rsid w:val="006A2DC7"/>
    <w:rsid w:val="006A374C"/>
    <w:rsid w:val="006A7B9E"/>
    <w:rsid w:val="006B46EC"/>
    <w:rsid w:val="006C7A42"/>
    <w:rsid w:val="006D5F8E"/>
    <w:rsid w:val="006D7DDD"/>
    <w:rsid w:val="006E4C9B"/>
    <w:rsid w:val="006F07FF"/>
    <w:rsid w:val="006F4E04"/>
    <w:rsid w:val="00702070"/>
    <w:rsid w:val="007113AE"/>
    <w:rsid w:val="00711605"/>
    <w:rsid w:val="00714F01"/>
    <w:rsid w:val="0075016C"/>
    <w:rsid w:val="0075294D"/>
    <w:rsid w:val="0077210F"/>
    <w:rsid w:val="00797AE4"/>
    <w:rsid w:val="007A0E21"/>
    <w:rsid w:val="007A358F"/>
    <w:rsid w:val="007B3C10"/>
    <w:rsid w:val="007B4D9C"/>
    <w:rsid w:val="007D1CE2"/>
    <w:rsid w:val="007D6E66"/>
    <w:rsid w:val="00806AF2"/>
    <w:rsid w:val="00807F38"/>
    <w:rsid w:val="00833DE5"/>
    <w:rsid w:val="008367A5"/>
    <w:rsid w:val="008401BA"/>
    <w:rsid w:val="00855384"/>
    <w:rsid w:val="0085663A"/>
    <w:rsid w:val="00870A70"/>
    <w:rsid w:val="00871B49"/>
    <w:rsid w:val="00875961"/>
    <w:rsid w:val="00875976"/>
    <w:rsid w:val="00877EFD"/>
    <w:rsid w:val="008812C1"/>
    <w:rsid w:val="00887179"/>
    <w:rsid w:val="008938FE"/>
    <w:rsid w:val="00897BF6"/>
    <w:rsid w:val="008A29F0"/>
    <w:rsid w:val="008B168C"/>
    <w:rsid w:val="008B16CB"/>
    <w:rsid w:val="008B43EC"/>
    <w:rsid w:val="008B57C7"/>
    <w:rsid w:val="008B739A"/>
    <w:rsid w:val="008C2D41"/>
    <w:rsid w:val="008C40BE"/>
    <w:rsid w:val="008D42E2"/>
    <w:rsid w:val="008F3DBC"/>
    <w:rsid w:val="00907B74"/>
    <w:rsid w:val="00911845"/>
    <w:rsid w:val="00916F6D"/>
    <w:rsid w:val="00917C83"/>
    <w:rsid w:val="009225D2"/>
    <w:rsid w:val="00952C91"/>
    <w:rsid w:val="009577AE"/>
    <w:rsid w:val="009740F5"/>
    <w:rsid w:val="00980C9B"/>
    <w:rsid w:val="009831FA"/>
    <w:rsid w:val="009C77D2"/>
    <w:rsid w:val="00A146D0"/>
    <w:rsid w:val="00A248BD"/>
    <w:rsid w:val="00A254B5"/>
    <w:rsid w:val="00A32724"/>
    <w:rsid w:val="00A35778"/>
    <w:rsid w:val="00A35D61"/>
    <w:rsid w:val="00A65C68"/>
    <w:rsid w:val="00A75FDC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36E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D1D09"/>
    <w:rsid w:val="00BE66B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1EEA"/>
    <w:rsid w:val="00C90512"/>
    <w:rsid w:val="00CA1631"/>
    <w:rsid w:val="00CB4305"/>
    <w:rsid w:val="00CE1146"/>
    <w:rsid w:val="00CE16CA"/>
    <w:rsid w:val="00CF3E14"/>
    <w:rsid w:val="00CF5869"/>
    <w:rsid w:val="00D15821"/>
    <w:rsid w:val="00D26FB3"/>
    <w:rsid w:val="00D43964"/>
    <w:rsid w:val="00D516B2"/>
    <w:rsid w:val="00D9251B"/>
    <w:rsid w:val="00DB7F2C"/>
    <w:rsid w:val="00DC4652"/>
    <w:rsid w:val="00DD04A3"/>
    <w:rsid w:val="00E0576E"/>
    <w:rsid w:val="00E32D88"/>
    <w:rsid w:val="00E46E53"/>
    <w:rsid w:val="00E7115C"/>
    <w:rsid w:val="00E8175B"/>
    <w:rsid w:val="00EB04D0"/>
    <w:rsid w:val="00EB5405"/>
    <w:rsid w:val="00EB5549"/>
    <w:rsid w:val="00EC1609"/>
    <w:rsid w:val="00ED12D1"/>
    <w:rsid w:val="00ED267B"/>
    <w:rsid w:val="00EE3DEA"/>
    <w:rsid w:val="00F007E6"/>
    <w:rsid w:val="00F13E9B"/>
    <w:rsid w:val="00F32CAB"/>
    <w:rsid w:val="00F45DA1"/>
    <w:rsid w:val="00F72A57"/>
    <w:rsid w:val="00F75D4F"/>
    <w:rsid w:val="00FA18E6"/>
    <w:rsid w:val="00FA24B9"/>
    <w:rsid w:val="00FA4EFF"/>
    <w:rsid w:val="00FA74D0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1A7FC8"/>
  <w15:chartTrackingRefBased/>
  <w15:docId w15:val="{CC672D0B-FA53-4693-B2F4-22D3B99D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10365</Words>
  <Characters>5909</Characters>
  <Application>Microsoft Office Word</Application>
  <DocSecurity>0</DocSecurity>
  <Lines>49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Ilze Krēgere</cp:lastModifiedBy>
  <cp:revision>9</cp:revision>
  <cp:lastPrinted>2008-02-21T11:46:00Z</cp:lastPrinted>
  <dcterms:created xsi:type="dcterms:W3CDTF">2024-10-16T08:39:00Z</dcterms:created>
  <dcterms:modified xsi:type="dcterms:W3CDTF">2026-03-11T11:29:00Z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Pārskats par kolektīvā iesnieguma virzību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12.03.2026.</vt:lpwstr>
  </property>
  <property fmtid="{D5CDD505-2E9C-101B-9397-08002B2CF9AE}" pid="24" name="REG_NUMURS">
    <vt:lpwstr>DA-26-6-pa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